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 w:type="dxa"/>
        <w:tblLayout w:type="fixed"/>
        <w:tblCellMar>
          <w:left w:w="56" w:type="dxa"/>
          <w:right w:w="56" w:type="dxa"/>
        </w:tblCellMar>
        <w:tblLook w:val="0000" w:firstRow="0" w:lastRow="0" w:firstColumn="0" w:lastColumn="0" w:noHBand="0" w:noVBand="0"/>
      </w:tblPr>
      <w:tblGrid>
        <w:gridCol w:w="1475"/>
        <w:gridCol w:w="3061"/>
        <w:gridCol w:w="284"/>
        <w:gridCol w:w="1701"/>
        <w:gridCol w:w="3118"/>
      </w:tblGrid>
      <w:tr w:rsidR="003E102B" w:rsidRPr="00F2168B" w:rsidTr="000206B1">
        <w:trPr>
          <w:trHeight w:val="1135"/>
        </w:trPr>
        <w:tc>
          <w:tcPr>
            <w:tcW w:w="1475" w:type="dxa"/>
            <w:vAlign w:val="center"/>
          </w:tcPr>
          <w:p w:rsidR="003E102B" w:rsidRPr="00F2168B" w:rsidRDefault="003E102B" w:rsidP="000206B1">
            <w:pPr>
              <w:jc w:val="center"/>
              <w:rPr>
                <w:rFonts w:ascii="Xenia Cameo" w:hAnsi="Xenia Cameo"/>
                <w:i/>
                <w:spacing w:val="25"/>
                <w:sz w:val="56"/>
                <w:lang w:val="en-US"/>
              </w:rPr>
            </w:pPr>
            <w:r>
              <w:rPr>
                <w:rFonts w:ascii="Xenia Cameo" w:hAnsi="Xenia Cameo"/>
                <w:b/>
                <w:noProof/>
                <w:sz w:val="34"/>
                <w:szCs w:val="34"/>
                <w:lang w:val="ru-RU"/>
              </w:rPr>
              <w:drawing>
                <wp:inline distT="0" distB="0" distL="0" distR="0" wp14:anchorId="503FBD27" wp14:editId="384859F5">
                  <wp:extent cx="886460" cy="510540"/>
                  <wp:effectExtent l="0" t="0" r="8890" b="3810"/>
                  <wp:docPr id="1" name="Рисунок 1"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510540"/>
                          </a:xfrm>
                          <a:prstGeom prst="rect">
                            <a:avLst/>
                          </a:prstGeom>
                          <a:noFill/>
                          <a:ln>
                            <a:noFill/>
                          </a:ln>
                        </pic:spPr>
                      </pic:pic>
                    </a:graphicData>
                  </a:graphic>
                </wp:inline>
              </w:drawing>
            </w:r>
          </w:p>
        </w:tc>
        <w:tc>
          <w:tcPr>
            <w:tcW w:w="3061" w:type="dxa"/>
            <w:vAlign w:val="center"/>
          </w:tcPr>
          <w:p w:rsidR="003E102B" w:rsidRPr="00F2168B" w:rsidRDefault="003E102B" w:rsidP="000206B1">
            <w:pPr>
              <w:pStyle w:val="TabForm"/>
              <w:spacing w:before="120" w:after="120"/>
              <w:jc w:val="center"/>
              <w:rPr>
                <w:rFonts w:ascii="Times New Roman" w:hAnsi="Times New Roman"/>
                <w:b/>
              </w:rPr>
            </w:pPr>
            <w:r w:rsidRPr="00F2168B">
              <w:rPr>
                <w:rFonts w:ascii="Times New Roman" w:hAnsi="Times New Roman"/>
                <w:sz w:val="30"/>
              </w:rPr>
              <w:t>Ukrainian Radiation Protection</w:t>
            </w:r>
            <w:r w:rsidRPr="00F2168B">
              <w:rPr>
                <w:rFonts w:ascii="Times New Roman" w:hAnsi="Times New Roman"/>
                <w:sz w:val="26"/>
              </w:rPr>
              <w:t xml:space="preserve"> </w:t>
            </w:r>
            <w:r w:rsidRPr="00F2168B">
              <w:rPr>
                <w:rFonts w:ascii="Times New Roman" w:hAnsi="Times New Roman"/>
                <w:sz w:val="30"/>
              </w:rPr>
              <w:t>Institute</w:t>
            </w:r>
          </w:p>
        </w:tc>
        <w:tc>
          <w:tcPr>
            <w:tcW w:w="284" w:type="dxa"/>
            <w:vAlign w:val="center"/>
          </w:tcPr>
          <w:p w:rsidR="003E102B" w:rsidRPr="00F2168B" w:rsidRDefault="003E102B" w:rsidP="000206B1">
            <w:pPr>
              <w:jc w:val="center"/>
              <w:rPr>
                <w:i/>
                <w:spacing w:val="25"/>
                <w:szCs w:val="22"/>
              </w:rPr>
            </w:pPr>
          </w:p>
        </w:tc>
        <w:tc>
          <w:tcPr>
            <w:tcW w:w="1701" w:type="dxa"/>
            <w:vAlign w:val="center"/>
          </w:tcPr>
          <w:p w:rsidR="003E102B" w:rsidRPr="00F2168B" w:rsidRDefault="003E102B" w:rsidP="000206B1">
            <w:pPr>
              <w:jc w:val="center"/>
              <w:rPr>
                <w:rFonts w:ascii="Xenia Cameo" w:hAnsi="Xenia Cameo"/>
                <w:i/>
                <w:spacing w:val="25"/>
                <w:sz w:val="56"/>
              </w:rPr>
            </w:pPr>
            <w:r>
              <w:rPr>
                <w:rFonts w:ascii="Xenia Cameo" w:hAnsi="Xenia Cameo"/>
                <w:b/>
                <w:noProof/>
                <w:sz w:val="34"/>
                <w:szCs w:val="34"/>
                <w:lang w:val="ru-RU"/>
              </w:rPr>
              <w:drawing>
                <wp:inline distT="0" distB="0" distL="0" distR="0" wp14:anchorId="4AAFEF35" wp14:editId="5A78B0F9">
                  <wp:extent cx="886460" cy="510540"/>
                  <wp:effectExtent l="0" t="0" r="8890" b="3810"/>
                  <wp:docPr id="2" name="Рисунок 2" descr="Logo (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510540"/>
                          </a:xfrm>
                          <a:prstGeom prst="rect">
                            <a:avLst/>
                          </a:prstGeom>
                          <a:noFill/>
                          <a:ln>
                            <a:noFill/>
                          </a:ln>
                        </pic:spPr>
                      </pic:pic>
                    </a:graphicData>
                  </a:graphic>
                </wp:inline>
              </w:drawing>
            </w:r>
          </w:p>
        </w:tc>
        <w:tc>
          <w:tcPr>
            <w:tcW w:w="3118" w:type="dxa"/>
            <w:vAlign w:val="center"/>
          </w:tcPr>
          <w:p w:rsidR="003E102B" w:rsidRPr="00F2168B" w:rsidRDefault="003E102B" w:rsidP="000206B1">
            <w:pPr>
              <w:pStyle w:val="TabForm"/>
              <w:spacing w:before="120" w:after="120"/>
              <w:jc w:val="center"/>
              <w:rPr>
                <w:rFonts w:ascii="Times New Roman" w:hAnsi="Times New Roman"/>
                <w:sz w:val="30"/>
                <w:lang w:val="uk-UA"/>
              </w:rPr>
            </w:pPr>
            <w:r w:rsidRPr="00F2168B">
              <w:rPr>
                <w:rFonts w:ascii="Times New Roman" w:hAnsi="Times New Roman"/>
                <w:sz w:val="30"/>
                <w:lang w:val="uk-UA"/>
              </w:rPr>
              <w:t>НДІ радіаційного захисту АТН України</w:t>
            </w:r>
          </w:p>
        </w:tc>
      </w:tr>
      <w:tr w:rsidR="003E102B" w:rsidRPr="00F2168B" w:rsidTr="000206B1">
        <w:tc>
          <w:tcPr>
            <w:tcW w:w="4536" w:type="dxa"/>
            <w:gridSpan w:val="2"/>
            <w:tcBorders>
              <w:top w:val="single" w:sz="6" w:space="0" w:color="auto"/>
              <w:bottom w:val="single" w:sz="6" w:space="0" w:color="auto"/>
            </w:tcBorders>
            <w:vAlign w:val="center"/>
          </w:tcPr>
          <w:p w:rsidR="003E102B" w:rsidRPr="00D15A4E" w:rsidRDefault="003E102B" w:rsidP="000206B1">
            <w:pPr>
              <w:pStyle w:val="TabForm"/>
              <w:spacing w:before="60"/>
              <w:jc w:val="center"/>
              <w:rPr>
                <w:rFonts w:ascii="Times New Roman" w:hAnsi="Times New Roman"/>
                <w:sz w:val="16"/>
                <w:szCs w:val="16"/>
              </w:rPr>
            </w:pPr>
            <w:proofErr w:type="spellStart"/>
            <w:r w:rsidRPr="00D15A4E">
              <w:rPr>
                <w:rFonts w:ascii="Times New Roman" w:hAnsi="Times New Roman"/>
                <w:sz w:val="16"/>
                <w:szCs w:val="16"/>
              </w:rPr>
              <w:t>Vatutina</w:t>
            </w:r>
            <w:proofErr w:type="spellEnd"/>
            <w:r w:rsidRPr="00D15A4E">
              <w:rPr>
                <w:rFonts w:ascii="Times New Roman" w:hAnsi="Times New Roman"/>
                <w:sz w:val="16"/>
                <w:szCs w:val="16"/>
              </w:rPr>
              <w:t xml:space="preserve"> 55, </w:t>
            </w:r>
            <w:proofErr w:type="spellStart"/>
            <w:r w:rsidRPr="00D15A4E">
              <w:rPr>
                <w:rFonts w:ascii="Times New Roman" w:hAnsi="Times New Roman"/>
                <w:sz w:val="16"/>
                <w:szCs w:val="16"/>
              </w:rPr>
              <w:t>Vyshhorod</w:t>
            </w:r>
            <w:proofErr w:type="spellEnd"/>
            <w:r w:rsidRPr="00D15A4E">
              <w:rPr>
                <w:rFonts w:ascii="Times New Roman" w:hAnsi="Times New Roman"/>
                <w:sz w:val="16"/>
                <w:szCs w:val="16"/>
              </w:rPr>
              <w:t xml:space="preserve"> City, Kyiv region, 07300, Ukraine</w:t>
            </w:r>
          </w:p>
          <w:p w:rsidR="003E102B" w:rsidRPr="00F2168B" w:rsidRDefault="003E102B" w:rsidP="000206B1">
            <w:pPr>
              <w:pStyle w:val="TabForm"/>
              <w:spacing w:before="60"/>
              <w:jc w:val="center"/>
              <w:rPr>
                <w:rFonts w:ascii="Times New Roman" w:hAnsi="Times New Roman"/>
                <w:sz w:val="18"/>
                <w:szCs w:val="18"/>
              </w:rPr>
            </w:pPr>
            <w:proofErr w:type="spellStart"/>
            <w:r w:rsidRPr="00C86716">
              <w:rPr>
                <w:rFonts w:ascii="Times New Roman" w:hAnsi="Times New Roman"/>
                <w:sz w:val="16"/>
                <w:szCs w:val="16"/>
              </w:rPr>
              <w:t>Melnikova</w:t>
            </w:r>
            <w:proofErr w:type="spellEnd"/>
            <w:r w:rsidRPr="00C86716">
              <w:rPr>
                <w:rFonts w:ascii="Times New Roman" w:hAnsi="Times New Roman"/>
                <w:sz w:val="16"/>
                <w:szCs w:val="16"/>
              </w:rPr>
              <w:t xml:space="preserve"> 53, Kyiv, 04050, Ukraine</w:t>
            </w:r>
          </w:p>
        </w:tc>
        <w:tc>
          <w:tcPr>
            <w:tcW w:w="284" w:type="dxa"/>
            <w:vAlign w:val="center"/>
          </w:tcPr>
          <w:p w:rsidR="003E102B" w:rsidRPr="00F2168B" w:rsidRDefault="003E102B" w:rsidP="000206B1">
            <w:pPr>
              <w:pStyle w:val="TabForm"/>
              <w:spacing w:before="60"/>
              <w:jc w:val="center"/>
              <w:rPr>
                <w:rFonts w:ascii="Times New Roman" w:hAnsi="Times New Roman"/>
                <w:sz w:val="18"/>
                <w:szCs w:val="18"/>
                <w:lang w:val="uk-UA"/>
              </w:rPr>
            </w:pPr>
          </w:p>
        </w:tc>
        <w:tc>
          <w:tcPr>
            <w:tcW w:w="4819" w:type="dxa"/>
            <w:gridSpan w:val="2"/>
            <w:tcBorders>
              <w:top w:val="single" w:sz="6" w:space="0" w:color="auto"/>
              <w:bottom w:val="single" w:sz="6" w:space="0" w:color="auto"/>
            </w:tcBorders>
            <w:vAlign w:val="center"/>
          </w:tcPr>
          <w:p w:rsidR="003E102B" w:rsidRPr="00D15A4E" w:rsidRDefault="003E102B" w:rsidP="000206B1">
            <w:pPr>
              <w:pStyle w:val="TabForm"/>
              <w:spacing w:before="60"/>
              <w:jc w:val="center"/>
              <w:rPr>
                <w:rFonts w:ascii="Times New Roman" w:hAnsi="Times New Roman"/>
                <w:sz w:val="16"/>
                <w:szCs w:val="16"/>
                <w:lang w:val="uk-UA"/>
              </w:rPr>
            </w:pPr>
            <w:r w:rsidRPr="00D15A4E">
              <w:rPr>
                <w:rFonts w:ascii="Times New Roman" w:hAnsi="Times New Roman"/>
                <w:sz w:val="16"/>
                <w:szCs w:val="16"/>
                <w:lang w:val="uk-UA"/>
              </w:rPr>
              <w:t>вул. Ватутіна 55</w:t>
            </w:r>
            <w:r w:rsidRPr="004D56EF">
              <w:rPr>
                <w:rFonts w:ascii="Times New Roman" w:hAnsi="Times New Roman"/>
                <w:sz w:val="16"/>
                <w:szCs w:val="16"/>
                <w:lang w:val="ru-RU"/>
              </w:rPr>
              <w:t>,</w:t>
            </w:r>
            <w:r w:rsidRPr="00D15A4E">
              <w:rPr>
                <w:rFonts w:ascii="Times New Roman" w:hAnsi="Times New Roman"/>
                <w:sz w:val="16"/>
                <w:szCs w:val="16"/>
                <w:lang w:val="uk-UA"/>
              </w:rPr>
              <w:t xml:space="preserve"> м. Вишгород, Київська</w:t>
            </w:r>
            <w:r w:rsidRPr="00D15A4E">
              <w:rPr>
                <w:rFonts w:ascii="Times New Roman" w:hAnsi="Times New Roman"/>
                <w:sz w:val="16"/>
                <w:szCs w:val="16"/>
                <w:lang w:val="ru-RU"/>
              </w:rPr>
              <w:t xml:space="preserve"> обл.,</w:t>
            </w:r>
            <w:r w:rsidRPr="00D15A4E">
              <w:rPr>
                <w:rFonts w:ascii="Times New Roman" w:hAnsi="Times New Roman"/>
                <w:sz w:val="16"/>
                <w:szCs w:val="16"/>
                <w:lang w:val="uk-UA"/>
              </w:rPr>
              <w:t xml:space="preserve"> 07300, Україна </w:t>
            </w:r>
          </w:p>
          <w:p w:rsidR="003E102B" w:rsidRPr="00F2168B" w:rsidRDefault="003E102B" w:rsidP="000206B1">
            <w:pPr>
              <w:pStyle w:val="TabForm"/>
              <w:spacing w:before="60"/>
              <w:jc w:val="center"/>
              <w:rPr>
                <w:rFonts w:ascii="Times New Roman" w:hAnsi="Times New Roman"/>
                <w:sz w:val="18"/>
                <w:szCs w:val="18"/>
                <w:lang w:val="uk-UA"/>
              </w:rPr>
            </w:pPr>
            <w:r w:rsidRPr="00C86716">
              <w:rPr>
                <w:rFonts w:ascii="Times New Roman" w:hAnsi="Times New Roman"/>
                <w:sz w:val="16"/>
                <w:szCs w:val="16"/>
                <w:lang w:val="uk-UA"/>
              </w:rPr>
              <w:t>вул. Мельникова 53, м. Київ, 04050, Україна</w:t>
            </w:r>
            <w:r w:rsidRPr="00D15A4E">
              <w:rPr>
                <w:sz w:val="16"/>
                <w:szCs w:val="16"/>
                <w:lang w:val="uk-UA"/>
              </w:rPr>
              <w:t xml:space="preserve"> </w:t>
            </w:r>
          </w:p>
        </w:tc>
      </w:tr>
      <w:tr w:rsidR="003E102B" w:rsidRPr="00D15A4E" w:rsidTr="000206B1">
        <w:tc>
          <w:tcPr>
            <w:tcW w:w="9639" w:type="dxa"/>
            <w:gridSpan w:val="5"/>
            <w:vAlign w:val="center"/>
          </w:tcPr>
          <w:p w:rsidR="003E102B" w:rsidRPr="00231FA8" w:rsidRDefault="00EB41D2" w:rsidP="00BD1968">
            <w:pPr>
              <w:pStyle w:val="TabForm"/>
              <w:spacing w:before="60"/>
              <w:jc w:val="center"/>
              <w:rPr>
                <w:rFonts w:ascii="Times New Roman" w:hAnsi="Times New Roman"/>
                <w:sz w:val="16"/>
                <w:szCs w:val="16"/>
                <w:lang w:val="uk-UA"/>
              </w:rPr>
            </w:pPr>
            <w:hyperlink r:id="rId10" w:history="1">
              <w:r w:rsidR="00E076B8" w:rsidRPr="00E9642C">
                <w:rPr>
                  <w:rStyle w:val="a3"/>
                  <w:rFonts w:ascii="Times New Roman" w:hAnsi="Times New Roman"/>
                  <w:sz w:val="16"/>
                  <w:szCs w:val="16"/>
                </w:rPr>
                <w:t>https</w:t>
              </w:r>
              <w:r w:rsidR="00E076B8" w:rsidRPr="00E9642C">
                <w:rPr>
                  <w:rStyle w:val="a3"/>
                  <w:rFonts w:ascii="Times New Roman" w:hAnsi="Times New Roman"/>
                  <w:sz w:val="16"/>
                  <w:szCs w:val="16"/>
                  <w:lang w:val="uk-UA"/>
                </w:rPr>
                <w:t>://</w:t>
              </w:r>
              <w:r w:rsidR="00E076B8" w:rsidRPr="00E9642C">
                <w:rPr>
                  <w:rStyle w:val="a3"/>
                  <w:rFonts w:ascii="Times New Roman" w:hAnsi="Times New Roman"/>
                  <w:sz w:val="16"/>
                  <w:szCs w:val="16"/>
                </w:rPr>
                <w:t>rpi</w:t>
              </w:r>
              <w:r w:rsidR="00E076B8" w:rsidRPr="00E9642C">
                <w:rPr>
                  <w:rStyle w:val="a3"/>
                  <w:rFonts w:ascii="Times New Roman" w:hAnsi="Times New Roman"/>
                  <w:sz w:val="16"/>
                  <w:szCs w:val="16"/>
                  <w:lang w:val="uk-UA"/>
                </w:rPr>
                <w:t>.</w:t>
              </w:r>
              <w:r w:rsidR="00E076B8" w:rsidRPr="00E9642C">
                <w:rPr>
                  <w:rStyle w:val="a3"/>
                  <w:rFonts w:ascii="Times New Roman" w:hAnsi="Times New Roman"/>
                  <w:sz w:val="16"/>
                  <w:szCs w:val="16"/>
                </w:rPr>
                <w:t>kiev</w:t>
              </w:r>
              <w:r w:rsidR="00E076B8" w:rsidRPr="00E9642C">
                <w:rPr>
                  <w:rStyle w:val="a3"/>
                  <w:rFonts w:ascii="Times New Roman" w:hAnsi="Times New Roman"/>
                  <w:sz w:val="16"/>
                  <w:szCs w:val="16"/>
                  <w:lang w:val="uk-UA"/>
                </w:rPr>
                <w:t>.</w:t>
              </w:r>
              <w:r w:rsidR="00E076B8" w:rsidRPr="00E9642C">
                <w:rPr>
                  <w:rStyle w:val="a3"/>
                  <w:rFonts w:ascii="Times New Roman" w:hAnsi="Times New Roman"/>
                  <w:sz w:val="16"/>
                  <w:szCs w:val="16"/>
                </w:rPr>
                <w:t>ua</w:t>
              </w:r>
            </w:hyperlink>
            <w:r w:rsidR="003E102B" w:rsidRPr="00231FA8">
              <w:rPr>
                <w:rFonts w:ascii="Times New Roman" w:hAnsi="Times New Roman"/>
                <w:sz w:val="16"/>
                <w:szCs w:val="16"/>
                <w:lang w:val="uk-UA"/>
              </w:rPr>
              <w:t xml:space="preserve"> </w:t>
            </w:r>
            <w:r w:rsidR="003E102B" w:rsidRPr="00D15A4E">
              <w:rPr>
                <w:rFonts w:ascii="Times New Roman" w:hAnsi="Times New Roman"/>
                <w:b/>
                <w:sz w:val="16"/>
                <w:szCs w:val="16"/>
              </w:rPr>
              <w:t>e</w:t>
            </w:r>
            <w:r w:rsidR="003E102B" w:rsidRPr="00231FA8">
              <w:rPr>
                <w:rFonts w:ascii="Times New Roman" w:hAnsi="Times New Roman"/>
                <w:b/>
                <w:sz w:val="16"/>
                <w:szCs w:val="16"/>
                <w:lang w:val="uk-UA"/>
              </w:rPr>
              <w:t>-</w:t>
            </w:r>
            <w:r w:rsidR="003E102B" w:rsidRPr="00D15A4E">
              <w:rPr>
                <w:rFonts w:ascii="Times New Roman" w:hAnsi="Times New Roman"/>
                <w:b/>
                <w:sz w:val="16"/>
                <w:szCs w:val="16"/>
              </w:rPr>
              <w:t>mail</w:t>
            </w:r>
            <w:r w:rsidR="003E102B" w:rsidRPr="00231FA8">
              <w:rPr>
                <w:rFonts w:ascii="Times New Roman" w:hAnsi="Times New Roman"/>
                <w:sz w:val="16"/>
                <w:szCs w:val="16"/>
                <w:lang w:val="uk-UA"/>
              </w:rPr>
              <w:t xml:space="preserve">: </w:t>
            </w:r>
            <w:hyperlink r:id="rId11" w:history="1">
              <w:r w:rsidR="003E102B" w:rsidRPr="00D15A4E">
                <w:rPr>
                  <w:rStyle w:val="a3"/>
                  <w:rFonts w:ascii="Times New Roman" w:hAnsi="Times New Roman"/>
                  <w:sz w:val="16"/>
                  <w:szCs w:val="16"/>
                </w:rPr>
                <w:t>official</w:t>
              </w:r>
              <w:r w:rsidR="003E102B" w:rsidRPr="00231FA8">
                <w:rPr>
                  <w:rStyle w:val="a3"/>
                  <w:rFonts w:ascii="Times New Roman" w:hAnsi="Times New Roman"/>
                  <w:sz w:val="16"/>
                  <w:szCs w:val="16"/>
                  <w:lang w:val="uk-UA"/>
                </w:rPr>
                <w:t>@</w:t>
              </w:r>
              <w:r w:rsidR="003E102B" w:rsidRPr="00D15A4E">
                <w:rPr>
                  <w:rStyle w:val="a3"/>
                  <w:rFonts w:ascii="Times New Roman" w:hAnsi="Times New Roman"/>
                  <w:sz w:val="16"/>
                  <w:szCs w:val="16"/>
                </w:rPr>
                <w:t>rpi</w:t>
              </w:r>
              <w:r w:rsidR="003E102B" w:rsidRPr="00231FA8">
                <w:rPr>
                  <w:rStyle w:val="a3"/>
                  <w:rFonts w:ascii="Times New Roman" w:hAnsi="Times New Roman"/>
                  <w:sz w:val="16"/>
                  <w:szCs w:val="16"/>
                  <w:lang w:val="uk-UA"/>
                </w:rPr>
                <w:t>.</w:t>
              </w:r>
              <w:r w:rsidR="003E102B" w:rsidRPr="00D15A4E">
                <w:rPr>
                  <w:rStyle w:val="a3"/>
                  <w:rFonts w:ascii="Times New Roman" w:hAnsi="Times New Roman"/>
                  <w:sz w:val="16"/>
                  <w:szCs w:val="16"/>
                </w:rPr>
                <w:t>kiev</w:t>
              </w:r>
              <w:r w:rsidR="003E102B" w:rsidRPr="00231FA8">
                <w:rPr>
                  <w:rStyle w:val="a3"/>
                  <w:rFonts w:ascii="Times New Roman" w:hAnsi="Times New Roman"/>
                  <w:sz w:val="16"/>
                  <w:szCs w:val="16"/>
                  <w:lang w:val="uk-UA"/>
                </w:rPr>
                <w:t>.</w:t>
              </w:r>
              <w:proofErr w:type="spellStart"/>
              <w:r w:rsidR="003E102B" w:rsidRPr="00D15A4E">
                <w:rPr>
                  <w:rStyle w:val="a3"/>
                  <w:rFonts w:ascii="Times New Roman" w:hAnsi="Times New Roman"/>
                  <w:sz w:val="16"/>
                  <w:szCs w:val="16"/>
                </w:rPr>
                <w:t>ua</w:t>
              </w:r>
              <w:proofErr w:type="spellEnd"/>
            </w:hyperlink>
            <w:r w:rsidR="003E102B" w:rsidRPr="00231FA8">
              <w:rPr>
                <w:rFonts w:ascii="Times New Roman" w:hAnsi="Times New Roman"/>
                <w:sz w:val="16"/>
                <w:szCs w:val="16"/>
                <w:lang w:val="uk-UA"/>
              </w:rPr>
              <w:t xml:space="preserve">  </w:t>
            </w:r>
            <w:r w:rsidR="003E102B" w:rsidRPr="00D15A4E">
              <w:rPr>
                <w:rFonts w:ascii="Times New Roman" w:hAnsi="Times New Roman"/>
                <w:sz w:val="16"/>
                <w:szCs w:val="16"/>
              </w:rPr>
              <w:fldChar w:fldCharType="begin"/>
            </w:r>
            <w:r w:rsidR="003E102B" w:rsidRPr="00D15A4E">
              <w:rPr>
                <w:rFonts w:ascii="Times New Roman" w:hAnsi="Times New Roman"/>
                <w:sz w:val="16"/>
                <w:szCs w:val="16"/>
              </w:rPr>
              <w:instrText>SYMBOL</w:instrText>
            </w:r>
            <w:r w:rsidR="003E102B" w:rsidRPr="00231FA8">
              <w:rPr>
                <w:rFonts w:ascii="Times New Roman" w:hAnsi="Times New Roman"/>
                <w:sz w:val="16"/>
                <w:szCs w:val="16"/>
                <w:lang w:val="uk-UA"/>
              </w:rPr>
              <w:instrText xml:space="preserve"> 40 \</w:instrText>
            </w:r>
            <w:r w:rsidR="003E102B" w:rsidRPr="00D15A4E">
              <w:rPr>
                <w:rFonts w:ascii="Times New Roman" w:hAnsi="Times New Roman"/>
                <w:sz w:val="16"/>
                <w:szCs w:val="16"/>
              </w:rPr>
              <w:instrText>f</w:instrText>
            </w:r>
            <w:r w:rsidR="003E102B" w:rsidRPr="00231FA8">
              <w:rPr>
                <w:rFonts w:ascii="Times New Roman" w:hAnsi="Times New Roman"/>
                <w:sz w:val="16"/>
                <w:szCs w:val="16"/>
                <w:lang w:val="uk-UA"/>
              </w:rPr>
              <w:instrText xml:space="preserve"> "</w:instrText>
            </w:r>
            <w:r w:rsidR="003E102B" w:rsidRPr="00D15A4E">
              <w:rPr>
                <w:rFonts w:ascii="Times New Roman" w:hAnsi="Times New Roman"/>
                <w:sz w:val="16"/>
                <w:szCs w:val="16"/>
              </w:rPr>
              <w:instrText>Wingdings</w:instrText>
            </w:r>
            <w:r w:rsidR="003E102B" w:rsidRPr="00231FA8">
              <w:rPr>
                <w:rFonts w:ascii="Times New Roman" w:hAnsi="Times New Roman"/>
                <w:sz w:val="16"/>
                <w:szCs w:val="16"/>
                <w:lang w:val="uk-UA"/>
              </w:rPr>
              <w:instrText>" \</w:instrText>
            </w:r>
            <w:r w:rsidR="003E102B" w:rsidRPr="00D15A4E">
              <w:rPr>
                <w:rFonts w:ascii="Times New Roman" w:hAnsi="Times New Roman"/>
                <w:sz w:val="16"/>
                <w:szCs w:val="16"/>
              </w:rPr>
              <w:instrText>s</w:instrText>
            </w:r>
            <w:r w:rsidR="003E102B" w:rsidRPr="00231FA8">
              <w:rPr>
                <w:rFonts w:ascii="Times New Roman" w:hAnsi="Times New Roman"/>
                <w:sz w:val="16"/>
                <w:szCs w:val="16"/>
                <w:lang w:val="uk-UA"/>
              </w:rPr>
              <w:instrText xml:space="preserve"> 8</w:instrText>
            </w:r>
            <w:r w:rsidR="003E102B" w:rsidRPr="00D15A4E">
              <w:rPr>
                <w:rFonts w:ascii="Times New Roman" w:hAnsi="Times New Roman"/>
                <w:sz w:val="16"/>
                <w:szCs w:val="16"/>
              </w:rPr>
              <w:fldChar w:fldCharType="end"/>
            </w:r>
            <w:r w:rsidR="003E102B" w:rsidRPr="00231FA8">
              <w:rPr>
                <w:rFonts w:ascii="Times New Roman" w:hAnsi="Times New Roman"/>
                <w:sz w:val="16"/>
                <w:szCs w:val="16"/>
                <w:lang w:val="uk-UA"/>
              </w:rPr>
              <w:t xml:space="preserve"> +380 44 4894900 </w:t>
            </w:r>
            <w:r w:rsidR="003E102B">
              <w:rPr>
                <w:rFonts w:ascii="Times New Roman" w:hAnsi="Times New Roman"/>
                <w:sz w:val="16"/>
                <w:szCs w:val="16"/>
                <w:lang w:val="uk-UA"/>
              </w:rPr>
              <w:t>Ідентифікаційний к</w:t>
            </w:r>
            <w:r w:rsidR="003E102B" w:rsidRPr="00D15A4E">
              <w:rPr>
                <w:rFonts w:ascii="Times New Roman" w:hAnsi="Times New Roman"/>
                <w:sz w:val="16"/>
                <w:szCs w:val="16"/>
                <w:lang w:val="uk-UA"/>
              </w:rPr>
              <w:t>од</w:t>
            </w:r>
            <w:r w:rsidR="003E102B">
              <w:rPr>
                <w:rFonts w:ascii="Times New Roman" w:hAnsi="Times New Roman"/>
                <w:sz w:val="16"/>
                <w:szCs w:val="16"/>
                <w:lang w:val="uk-UA"/>
              </w:rPr>
              <w:t xml:space="preserve"> </w:t>
            </w:r>
            <w:r w:rsidR="003E102B" w:rsidRPr="00D15A4E">
              <w:rPr>
                <w:rFonts w:ascii="Times New Roman" w:hAnsi="Times New Roman"/>
                <w:sz w:val="16"/>
                <w:szCs w:val="16"/>
                <w:lang w:val="uk-UA"/>
              </w:rPr>
              <w:t xml:space="preserve"> 23151351</w:t>
            </w:r>
          </w:p>
        </w:tc>
      </w:tr>
      <w:tr w:rsidR="003E102B" w:rsidRPr="00F2168B" w:rsidTr="000206B1">
        <w:trPr>
          <w:trHeight w:hRule="exact" w:val="60"/>
        </w:trPr>
        <w:tc>
          <w:tcPr>
            <w:tcW w:w="4536" w:type="dxa"/>
            <w:gridSpan w:val="2"/>
            <w:tcBorders>
              <w:top w:val="single" w:sz="12" w:space="0" w:color="auto"/>
              <w:bottom w:val="single" w:sz="6" w:space="0" w:color="auto"/>
            </w:tcBorders>
            <w:vAlign w:val="center"/>
          </w:tcPr>
          <w:p w:rsidR="003E102B" w:rsidRPr="00F2168B" w:rsidRDefault="003E102B" w:rsidP="000206B1">
            <w:pPr>
              <w:pStyle w:val="TabForm"/>
              <w:spacing w:before="60"/>
              <w:jc w:val="center"/>
              <w:rPr>
                <w:rFonts w:ascii="Times New Roman" w:hAnsi="Times New Roman"/>
                <w:b/>
                <w:sz w:val="16"/>
                <w:lang w:val="uk-UA"/>
              </w:rPr>
            </w:pPr>
          </w:p>
        </w:tc>
        <w:tc>
          <w:tcPr>
            <w:tcW w:w="284" w:type="dxa"/>
            <w:tcBorders>
              <w:top w:val="single" w:sz="12" w:space="0" w:color="auto"/>
              <w:bottom w:val="single" w:sz="6" w:space="0" w:color="auto"/>
            </w:tcBorders>
            <w:vAlign w:val="center"/>
          </w:tcPr>
          <w:p w:rsidR="003E102B" w:rsidRPr="00F2168B" w:rsidRDefault="003E102B" w:rsidP="000206B1">
            <w:pPr>
              <w:pStyle w:val="TabForm"/>
              <w:spacing w:before="60"/>
              <w:jc w:val="center"/>
              <w:rPr>
                <w:rFonts w:ascii="Times New Roman" w:hAnsi="Times New Roman"/>
                <w:sz w:val="16"/>
                <w:lang w:val="uk-UA"/>
              </w:rPr>
            </w:pPr>
          </w:p>
        </w:tc>
        <w:tc>
          <w:tcPr>
            <w:tcW w:w="4819" w:type="dxa"/>
            <w:gridSpan w:val="2"/>
            <w:tcBorders>
              <w:top w:val="single" w:sz="12" w:space="0" w:color="auto"/>
              <w:bottom w:val="single" w:sz="6" w:space="0" w:color="auto"/>
            </w:tcBorders>
            <w:vAlign w:val="center"/>
          </w:tcPr>
          <w:p w:rsidR="003E102B" w:rsidRPr="00F2168B" w:rsidRDefault="003E102B" w:rsidP="000206B1">
            <w:pPr>
              <w:pStyle w:val="TabForm"/>
              <w:spacing w:before="60"/>
              <w:jc w:val="center"/>
              <w:rPr>
                <w:rFonts w:ascii="Times New Roman" w:hAnsi="Times New Roman"/>
                <w:sz w:val="16"/>
                <w:lang w:val="uk-UA"/>
              </w:rPr>
            </w:pPr>
          </w:p>
        </w:tc>
      </w:tr>
    </w:tbl>
    <w:p w:rsidR="003E102B" w:rsidRPr="00B24B6D" w:rsidRDefault="003E102B" w:rsidP="003E102B">
      <w:pPr>
        <w:jc w:val="right"/>
        <w:rPr>
          <w:b/>
          <w:bCs/>
        </w:rPr>
      </w:pPr>
    </w:p>
    <w:p w:rsidR="00C40371" w:rsidRPr="00590F02" w:rsidRDefault="00C40371" w:rsidP="00C40371">
      <w:pPr>
        <w:shd w:val="clear" w:color="auto" w:fill="FFFFFF"/>
        <w:tabs>
          <w:tab w:val="left" w:leader="underscore" w:pos="0"/>
        </w:tabs>
        <w:spacing w:before="120" w:line="281" w:lineRule="exact"/>
        <w:ind w:right="-1"/>
        <w:jc w:val="center"/>
        <w:rPr>
          <w:b/>
          <w:bCs/>
          <w:spacing w:val="-1"/>
          <w:sz w:val="22"/>
          <w:szCs w:val="22"/>
        </w:rPr>
      </w:pPr>
      <w:r w:rsidRPr="00590F02">
        <w:rPr>
          <w:b/>
          <w:bCs/>
          <w:spacing w:val="-1"/>
          <w:sz w:val="22"/>
          <w:szCs w:val="22"/>
        </w:rPr>
        <w:t>Приватне акціонерне товариство «Науково-дослідний інститут радіаційного захисту Академії технологічних наук України» (далі – Товариство)</w:t>
      </w:r>
    </w:p>
    <w:p w:rsidR="00C40371" w:rsidRPr="00590F02" w:rsidRDefault="00C40371" w:rsidP="00C40371">
      <w:pPr>
        <w:jc w:val="center"/>
        <w:rPr>
          <w:sz w:val="22"/>
          <w:szCs w:val="22"/>
        </w:rPr>
      </w:pPr>
      <w:r w:rsidRPr="00590F02">
        <w:rPr>
          <w:sz w:val="22"/>
          <w:szCs w:val="22"/>
        </w:rPr>
        <w:t>(ідентифікаційний код 23151351)</w:t>
      </w:r>
    </w:p>
    <w:p w:rsidR="005C2AC4" w:rsidRDefault="00C40371" w:rsidP="005C2AC4">
      <w:pPr>
        <w:shd w:val="clear" w:color="auto" w:fill="FFFFFF"/>
        <w:ind w:right="450" w:firstLine="450"/>
        <w:jc w:val="both"/>
        <w:rPr>
          <w:sz w:val="22"/>
          <w:szCs w:val="22"/>
        </w:rPr>
      </w:pPr>
      <w:r w:rsidRPr="00590F02">
        <w:rPr>
          <w:sz w:val="22"/>
          <w:szCs w:val="22"/>
        </w:rPr>
        <w:tab/>
        <w:t>повідомляє про скликання річних загальних зборів акціонерів Товариства</w:t>
      </w:r>
      <w:r w:rsidR="00004782">
        <w:rPr>
          <w:sz w:val="22"/>
          <w:szCs w:val="22"/>
        </w:rPr>
        <w:t xml:space="preserve"> в порядку, визначеному рішенням </w:t>
      </w:r>
      <w:r w:rsidR="00004782">
        <w:rPr>
          <w:spacing w:val="-1"/>
          <w:sz w:val="22"/>
          <w:szCs w:val="22"/>
        </w:rPr>
        <w:t>Національної комісії з цінних паперів</w:t>
      </w:r>
      <w:r w:rsidR="005C2AC4" w:rsidRPr="005C2AC4">
        <w:rPr>
          <w:spacing w:val="-1"/>
          <w:sz w:val="22"/>
          <w:szCs w:val="22"/>
        </w:rPr>
        <w:t xml:space="preserve"> </w:t>
      </w:r>
      <w:r w:rsidR="005C2AC4" w:rsidRPr="00B56B56">
        <w:rPr>
          <w:spacing w:val="-1"/>
          <w:sz w:val="22"/>
          <w:szCs w:val="22"/>
        </w:rPr>
        <w:t xml:space="preserve">від </w:t>
      </w:r>
      <w:r w:rsidR="005C2AC4" w:rsidRPr="00B56B56">
        <w:rPr>
          <w:bCs/>
          <w:sz w:val="22"/>
          <w:szCs w:val="22"/>
        </w:rPr>
        <w:t>06.11.2022  № 1318</w:t>
      </w:r>
      <w:r w:rsidR="005C2AC4">
        <w:rPr>
          <w:bCs/>
          <w:sz w:val="22"/>
          <w:szCs w:val="22"/>
        </w:rPr>
        <w:t xml:space="preserve"> </w:t>
      </w:r>
      <w:r w:rsidR="005C2AC4" w:rsidRPr="005C2AC4">
        <w:rPr>
          <w:bCs/>
        </w:rPr>
        <w:t>«</w:t>
      </w:r>
      <w:r w:rsidR="005C2AC4" w:rsidRPr="005C2AC4">
        <w:rPr>
          <w:bCs/>
          <w:color w:val="333333"/>
        </w:rPr>
        <w:t xml:space="preserve">Щодо </w:t>
      </w:r>
      <w:r w:rsidR="005C2AC4" w:rsidRPr="005C2AC4">
        <w:rPr>
          <w:bCs/>
          <w:color w:val="333333"/>
          <w:sz w:val="22"/>
          <w:szCs w:val="22"/>
        </w:rPr>
        <w:t>особливостей на період дії воєнного стану проведення загальних зборів акціонерів акціонерного товариства, в яких беруть участь акціонери - власники 100 відсотків голосуючих акцій</w:t>
      </w:r>
      <w:r w:rsidR="005C2AC4">
        <w:rPr>
          <w:bCs/>
          <w:color w:val="333333"/>
          <w:sz w:val="22"/>
          <w:szCs w:val="22"/>
        </w:rPr>
        <w:t xml:space="preserve">». </w:t>
      </w:r>
      <w:r w:rsidRPr="00590F02">
        <w:rPr>
          <w:sz w:val="22"/>
          <w:szCs w:val="22"/>
        </w:rPr>
        <w:t xml:space="preserve"> </w:t>
      </w:r>
      <w:r w:rsidR="005C2AC4">
        <w:rPr>
          <w:sz w:val="22"/>
          <w:szCs w:val="22"/>
        </w:rPr>
        <w:t xml:space="preserve">Загальні </w:t>
      </w:r>
      <w:r w:rsidR="005C2AC4" w:rsidRPr="005C2AC4">
        <w:rPr>
          <w:bCs/>
          <w:color w:val="333333"/>
          <w:sz w:val="22"/>
          <w:szCs w:val="22"/>
        </w:rPr>
        <w:t>збор</w:t>
      </w:r>
      <w:r w:rsidR="005C2AC4">
        <w:rPr>
          <w:bCs/>
          <w:color w:val="333333"/>
          <w:sz w:val="22"/>
          <w:szCs w:val="22"/>
        </w:rPr>
        <w:t>и</w:t>
      </w:r>
      <w:r w:rsidR="005C2AC4" w:rsidRPr="005C2AC4">
        <w:rPr>
          <w:bCs/>
          <w:color w:val="333333"/>
          <w:sz w:val="22"/>
          <w:szCs w:val="22"/>
        </w:rPr>
        <w:t xml:space="preserve"> акціонерів</w:t>
      </w:r>
      <w:r w:rsidRPr="00590F02">
        <w:rPr>
          <w:sz w:val="22"/>
          <w:szCs w:val="22"/>
        </w:rPr>
        <w:t xml:space="preserve"> відбудуться о 12.00 годині </w:t>
      </w:r>
      <w:r w:rsidRPr="007B1C82">
        <w:rPr>
          <w:sz w:val="22"/>
          <w:szCs w:val="22"/>
        </w:rPr>
        <w:t>2</w:t>
      </w:r>
      <w:r w:rsidR="007B1C82" w:rsidRPr="007B1C82">
        <w:rPr>
          <w:sz w:val="22"/>
          <w:szCs w:val="22"/>
        </w:rPr>
        <w:t>9</w:t>
      </w:r>
      <w:r w:rsidRPr="007B1C82">
        <w:rPr>
          <w:sz w:val="22"/>
          <w:szCs w:val="22"/>
        </w:rPr>
        <w:t xml:space="preserve"> </w:t>
      </w:r>
      <w:r w:rsidR="002A38E9" w:rsidRPr="007B1C82">
        <w:rPr>
          <w:sz w:val="22"/>
          <w:szCs w:val="22"/>
        </w:rPr>
        <w:t>груд</w:t>
      </w:r>
      <w:r w:rsidRPr="007B1C82">
        <w:rPr>
          <w:sz w:val="22"/>
          <w:szCs w:val="22"/>
        </w:rPr>
        <w:t>ня 202</w:t>
      </w:r>
      <w:r w:rsidR="002A38E9" w:rsidRPr="007B1C82">
        <w:rPr>
          <w:sz w:val="22"/>
          <w:szCs w:val="22"/>
        </w:rPr>
        <w:t>2</w:t>
      </w:r>
      <w:r w:rsidRPr="007B1C82">
        <w:rPr>
          <w:sz w:val="22"/>
          <w:szCs w:val="22"/>
        </w:rPr>
        <w:t xml:space="preserve"> року</w:t>
      </w:r>
      <w:r w:rsidRPr="00590F02">
        <w:rPr>
          <w:sz w:val="22"/>
          <w:szCs w:val="22"/>
        </w:rPr>
        <w:t xml:space="preserve"> </w:t>
      </w:r>
      <w:proofErr w:type="spellStart"/>
      <w:r w:rsidRPr="00590F02">
        <w:rPr>
          <w:sz w:val="22"/>
          <w:szCs w:val="22"/>
        </w:rPr>
        <w:t>адресою</w:t>
      </w:r>
      <w:proofErr w:type="spellEnd"/>
      <w:r w:rsidRPr="00590F02">
        <w:rPr>
          <w:sz w:val="22"/>
          <w:szCs w:val="22"/>
        </w:rPr>
        <w:t>: м. Київ, вул. Ю. Іллєнка, буд. 53, перший поверх, кімната  № 108.</w:t>
      </w:r>
      <w:r w:rsidRPr="00590F02">
        <w:rPr>
          <w:sz w:val="22"/>
          <w:szCs w:val="22"/>
        </w:rPr>
        <w:tab/>
      </w:r>
    </w:p>
    <w:p w:rsidR="00F868FE" w:rsidRPr="00590F02" w:rsidRDefault="00C40371" w:rsidP="00F868FE">
      <w:pPr>
        <w:shd w:val="clear" w:color="auto" w:fill="FFFFFF"/>
        <w:ind w:right="450" w:firstLine="450"/>
        <w:jc w:val="both"/>
        <w:rPr>
          <w:bCs/>
          <w:sz w:val="22"/>
          <w:szCs w:val="22"/>
        </w:rPr>
      </w:pPr>
      <w:r w:rsidRPr="00590F02">
        <w:rPr>
          <w:sz w:val="22"/>
          <w:szCs w:val="22"/>
        </w:rPr>
        <w:t xml:space="preserve">Реєстрація акціонерів (їх представників) для участі у загальних зборах буде проводитись </w:t>
      </w:r>
      <w:r w:rsidRPr="009423CA">
        <w:rPr>
          <w:sz w:val="22"/>
          <w:szCs w:val="22"/>
        </w:rPr>
        <w:t>2</w:t>
      </w:r>
      <w:r w:rsidR="007B1C82" w:rsidRPr="009423CA">
        <w:rPr>
          <w:sz w:val="22"/>
          <w:szCs w:val="22"/>
        </w:rPr>
        <w:t>9</w:t>
      </w:r>
      <w:r w:rsidRPr="009423CA">
        <w:rPr>
          <w:sz w:val="22"/>
          <w:szCs w:val="22"/>
        </w:rPr>
        <w:t xml:space="preserve"> </w:t>
      </w:r>
      <w:r w:rsidR="002A38E9" w:rsidRPr="009423CA">
        <w:rPr>
          <w:sz w:val="22"/>
          <w:szCs w:val="22"/>
        </w:rPr>
        <w:t>грудня</w:t>
      </w:r>
      <w:r w:rsidRPr="009423CA">
        <w:rPr>
          <w:sz w:val="22"/>
          <w:szCs w:val="22"/>
        </w:rPr>
        <w:t xml:space="preserve"> 202</w:t>
      </w:r>
      <w:r w:rsidR="002A38E9" w:rsidRPr="009423CA">
        <w:rPr>
          <w:sz w:val="22"/>
          <w:szCs w:val="22"/>
        </w:rPr>
        <w:t>2</w:t>
      </w:r>
      <w:r w:rsidRPr="009423CA">
        <w:rPr>
          <w:sz w:val="22"/>
          <w:szCs w:val="22"/>
        </w:rPr>
        <w:t xml:space="preserve"> р. </w:t>
      </w:r>
      <w:r w:rsidRPr="009423CA">
        <w:rPr>
          <w:spacing w:val="-4"/>
          <w:sz w:val="22"/>
          <w:szCs w:val="22"/>
        </w:rPr>
        <w:t xml:space="preserve">з 11:00 </w:t>
      </w:r>
      <w:r w:rsidRPr="009423CA">
        <w:rPr>
          <w:sz w:val="22"/>
          <w:szCs w:val="22"/>
        </w:rPr>
        <w:t xml:space="preserve">до 11:45 </w:t>
      </w:r>
      <w:r w:rsidRPr="009423CA">
        <w:rPr>
          <w:spacing w:val="-1"/>
          <w:sz w:val="22"/>
          <w:szCs w:val="22"/>
        </w:rPr>
        <w:t>годин за місцем проведення загальних зборів акціонерів. П</w:t>
      </w:r>
      <w:r w:rsidRPr="009423CA">
        <w:rPr>
          <w:sz w:val="22"/>
          <w:szCs w:val="22"/>
        </w:rPr>
        <w:t xml:space="preserve">ерелік акціонерів, які мають право на участь у загальних зборах, складається станом на </w:t>
      </w:r>
      <w:r w:rsidR="00C857FB" w:rsidRPr="009423CA">
        <w:rPr>
          <w:color w:val="333333"/>
          <w:sz w:val="22"/>
          <w:szCs w:val="22"/>
        </w:rPr>
        <w:t>кінець операційного дня</w:t>
      </w:r>
      <w:r w:rsidR="00C857FB" w:rsidRPr="009423CA">
        <w:rPr>
          <w:color w:val="333333"/>
        </w:rPr>
        <w:t xml:space="preserve"> </w:t>
      </w:r>
      <w:r w:rsidR="00C857FB" w:rsidRPr="009423CA">
        <w:rPr>
          <w:sz w:val="22"/>
          <w:szCs w:val="22"/>
        </w:rPr>
        <w:t>2</w:t>
      </w:r>
      <w:r w:rsidR="007B1C82" w:rsidRPr="009423CA">
        <w:rPr>
          <w:sz w:val="22"/>
          <w:szCs w:val="22"/>
        </w:rPr>
        <w:t>9</w:t>
      </w:r>
      <w:r w:rsidR="00C857FB" w:rsidRPr="009423CA">
        <w:rPr>
          <w:sz w:val="22"/>
          <w:szCs w:val="22"/>
        </w:rPr>
        <w:t xml:space="preserve"> грудня 20</w:t>
      </w:r>
      <w:r w:rsidR="00C857FB" w:rsidRPr="009423CA">
        <w:rPr>
          <w:sz w:val="22"/>
          <w:szCs w:val="22"/>
          <w:lang w:val="ru-RU"/>
        </w:rPr>
        <w:t>22</w:t>
      </w:r>
      <w:r w:rsidR="00C857FB" w:rsidRPr="009423CA">
        <w:rPr>
          <w:sz w:val="22"/>
          <w:szCs w:val="22"/>
        </w:rPr>
        <w:t xml:space="preserve"> р.</w:t>
      </w:r>
    </w:p>
    <w:p w:rsidR="00C40371" w:rsidRDefault="00C40371" w:rsidP="005C2AC4">
      <w:pPr>
        <w:shd w:val="clear" w:color="auto" w:fill="FFFFFF"/>
        <w:ind w:left="7"/>
        <w:jc w:val="center"/>
        <w:rPr>
          <w:bCs/>
          <w:spacing w:val="-3"/>
          <w:sz w:val="22"/>
          <w:szCs w:val="22"/>
        </w:rPr>
      </w:pPr>
      <w:r w:rsidRPr="00590F02">
        <w:rPr>
          <w:bCs/>
          <w:spacing w:val="-3"/>
          <w:sz w:val="22"/>
          <w:szCs w:val="22"/>
        </w:rPr>
        <w:t>ПОРЯД</w:t>
      </w:r>
      <w:r w:rsidR="00FE4CA3">
        <w:rPr>
          <w:bCs/>
          <w:spacing w:val="-3"/>
          <w:sz w:val="22"/>
          <w:szCs w:val="22"/>
        </w:rPr>
        <w:t>ОК</w:t>
      </w:r>
      <w:r w:rsidRPr="00590F02">
        <w:rPr>
          <w:bCs/>
          <w:spacing w:val="-3"/>
          <w:sz w:val="22"/>
          <w:szCs w:val="22"/>
        </w:rPr>
        <w:t xml:space="preserve"> ДЕНН</w:t>
      </w:r>
      <w:r w:rsidR="00FE4CA3">
        <w:rPr>
          <w:bCs/>
          <w:spacing w:val="-3"/>
          <w:sz w:val="22"/>
          <w:szCs w:val="22"/>
        </w:rPr>
        <w:t>ИЙ</w:t>
      </w:r>
      <w:r w:rsidRPr="00590F02">
        <w:rPr>
          <w:bCs/>
          <w:spacing w:val="-3"/>
          <w:sz w:val="22"/>
          <w:szCs w:val="22"/>
        </w:rPr>
        <w:t xml:space="preserve"> ТА ПРОЕКТИ РІШЕНЬ З ПИТАНЬ, ВКЛЮЧЕНИХ ДО ПОРЯДКУ ДЕННОГО РІЧНИХ ЗАГАЛЬНИХ ЗБОРІВ АКЦІОНЕРІВ ТОВАРИСТВА</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119"/>
        <w:gridCol w:w="6095"/>
      </w:tblGrid>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 з/п</w:t>
            </w:r>
          </w:p>
        </w:tc>
        <w:tc>
          <w:tcPr>
            <w:tcW w:w="3119" w:type="dxa"/>
            <w:shd w:val="clear" w:color="auto" w:fill="auto"/>
          </w:tcPr>
          <w:p w:rsidR="00C40371" w:rsidRPr="00590F02" w:rsidRDefault="00455F52" w:rsidP="00455F52">
            <w:pPr>
              <w:jc w:val="center"/>
              <w:rPr>
                <w:sz w:val="22"/>
                <w:szCs w:val="22"/>
              </w:rPr>
            </w:pPr>
            <w:r>
              <w:rPr>
                <w:sz w:val="22"/>
                <w:szCs w:val="22"/>
              </w:rPr>
              <w:t>П</w:t>
            </w:r>
            <w:r w:rsidR="00C40371" w:rsidRPr="00590F02">
              <w:rPr>
                <w:sz w:val="22"/>
                <w:szCs w:val="22"/>
              </w:rPr>
              <w:t>оряд</w:t>
            </w:r>
            <w:r>
              <w:rPr>
                <w:sz w:val="22"/>
                <w:szCs w:val="22"/>
              </w:rPr>
              <w:t>ок</w:t>
            </w:r>
            <w:r w:rsidR="00C40371" w:rsidRPr="00590F02">
              <w:rPr>
                <w:sz w:val="22"/>
                <w:szCs w:val="22"/>
              </w:rPr>
              <w:t xml:space="preserve"> денн</w:t>
            </w:r>
            <w:r>
              <w:rPr>
                <w:sz w:val="22"/>
                <w:szCs w:val="22"/>
              </w:rPr>
              <w:t>ий</w:t>
            </w:r>
          </w:p>
        </w:tc>
        <w:tc>
          <w:tcPr>
            <w:tcW w:w="6095" w:type="dxa"/>
            <w:shd w:val="clear" w:color="auto" w:fill="auto"/>
          </w:tcPr>
          <w:p w:rsidR="00C40371" w:rsidRPr="00590F02" w:rsidRDefault="00C40371" w:rsidP="003C5E24">
            <w:pPr>
              <w:jc w:val="center"/>
              <w:rPr>
                <w:sz w:val="22"/>
                <w:szCs w:val="22"/>
              </w:rPr>
            </w:pPr>
            <w:r w:rsidRPr="00590F02">
              <w:rPr>
                <w:sz w:val="22"/>
                <w:szCs w:val="22"/>
              </w:rPr>
              <w:t>Проекти рішень</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1</w:t>
            </w:r>
          </w:p>
        </w:tc>
        <w:tc>
          <w:tcPr>
            <w:tcW w:w="3119" w:type="dxa"/>
            <w:shd w:val="clear" w:color="auto" w:fill="auto"/>
          </w:tcPr>
          <w:p w:rsidR="00C40371" w:rsidRPr="00590F02" w:rsidRDefault="00C40371" w:rsidP="003C5E24">
            <w:pPr>
              <w:jc w:val="both"/>
              <w:rPr>
                <w:spacing w:val="-1"/>
                <w:sz w:val="22"/>
                <w:szCs w:val="22"/>
              </w:rPr>
            </w:pPr>
            <w:r w:rsidRPr="00590F02">
              <w:rPr>
                <w:spacing w:val="-1"/>
                <w:sz w:val="22"/>
                <w:szCs w:val="22"/>
              </w:rPr>
              <w:t xml:space="preserve">Обрання </w:t>
            </w:r>
            <w:r w:rsidRPr="00590F02">
              <w:rPr>
                <w:sz w:val="22"/>
                <w:szCs w:val="22"/>
              </w:rPr>
              <w:t>лічильної комісії річних загальних зборів акціонерів Товариства</w:t>
            </w:r>
          </w:p>
        </w:tc>
        <w:tc>
          <w:tcPr>
            <w:tcW w:w="6095" w:type="dxa"/>
            <w:shd w:val="clear" w:color="auto" w:fill="auto"/>
          </w:tcPr>
          <w:p w:rsidR="00C40371" w:rsidRPr="00590F02" w:rsidRDefault="00C40371" w:rsidP="009423CA">
            <w:pPr>
              <w:shd w:val="clear" w:color="auto" w:fill="FFFFFF"/>
              <w:jc w:val="both"/>
              <w:rPr>
                <w:sz w:val="22"/>
                <w:szCs w:val="22"/>
              </w:rPr>
            </w:pPr>
            <w:r w:rsidRPr="00590F02">
              <w:rPr>
                <w:bCs/>
                <w:sz w:val="22"/>
                <w:szCs w:val="22"/>
              </w:rPr>
              <w:t xml:space="preserve">Обрати </w:t>
            </w:r>
            <w:proofErr w:type="spellStart"/>
            <w:r w:rsidRPr="00590F02">
              <w:rPr>
                <w:bCs/>
                <w:sz w:val="22"/>
                <w:szCs w:val="22"/>
              </w:rPr>
              <w:t>Шестопала</w:t>
            </w:r>
            <w:proofErr w:type="spellEnd"/>
            <w:r w:rsidRPr="00590F02">
              <w:rPr>
                <w:bCs/>
                <w:sz w:val="22"/>
                <w:szCs w:val="22"/>
              </w:rPr>
              <w:t xml:space="preserve"> Г. С.  </w:t>
            </w:r>
            <w:r w:rsidR="002513D5" w:rsidRPr="00590F02">
              <w:rPr>
                <w:bCs/>
                <w:sz w:val="22"/>
                <w:szCs w:val="22"/>
              </w:rPr>
              <w:t>головою лічильної комісії</w:t>
            </w:r>
            <w:r w:rsidRPr="00590F02">
              <w:rPr>
                <w:bCs/>
                <w:sz w:val="22"/>
                <w:szCs w:val="22"/>
              </w:rPr>
              <w:t xml:space="preserve">, </w:t>
            </w:r>
            <w:proofErr w:type="spellStart"/>
            <w:r w:rsidR="009423CA">
              <w:rPr>
                <w:bCs/>
                <w:sz w:val="22"/>
                <w:szCs w:val="22"/>
              </w:rPr>
              <w:t>Скібчика</w:t>
            </w:r>
            <w:proofErr w:type="spellEnd"/>
            <w:r w:rsidR="009423CA">
              <w:rPr>
                <w:bCs/>
                <w:sz w:val="22"/>
                <w:szCs w:val="22"/>
              </w:rPr>
              <w:t xml:space="preserve"> Д. В.</w:t>
            </w:r>
            <w:r w:rsidR="009423CA" w:rsidRPr="00590F02">
              <w:rPr>
                <w:bCs/>
                <w:sz w:val="22"/>
                <w:szCs w:val="22"/>
              </w:rPr>
              <w:t xml:space="preserve"> </w:t>
            </w:r>
            <w:r w:rsidR="002513D5" w:rsidRPr="00590F02">
              <w:rPr>
                <w:bCs/>
                <w:sz w:val="22"/>
                <w:szCs w:val="22"/>
              </w:rPr>
              <w:t xml:space="preserve">секретарем лічильної комісії </w:t>
            </w:r>
            <w:r w:rsidRPr="00590F02">
              <w:rPr>
                <w:bCs/>
                <w:sz w:val="22"/>
                <w:szCs w:val="22"/>
              </w:rPr>
              <w:t>річних загальних зборів акціонерів.</w:t>
            </w:r>
            <w:r w:rsidRPr="00590F02">
              <w:rPr>
                <w:rStyle w:val="60"/>
                <w:szCs w:val="22"/>
              </w:rPr>
              <w:t xml:space="preserve"> </w:t>
            </w:r>
            <w:r w:rsidRPr="00590F02">
              <w:rPr>
                <w:rStyle w:val="text"/>
                <w:sz w:val="22"/>
                <w:szCs w:val="22"/>
              </w:rPr>
              <w:t>Повноваження обраного складу лічильної комісії вважати припиненими після оголошення про закриття загальних зборів акціонерів.</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2</w:t>
            </w:r>
          </w:p>
        </w:tc>
        <w:tc>
          <w:tcPr>
            <w:tcW w:w="3119" w:type="dxa"/>
            <w:shd w:val="clear" w:color="auto" w:fill="auto"/>
          </w:tcPr>
          <w:p w:rsidR="00C40371" w:rsidRPr="00590F02" w:rsidRDefault="00C40371" w:rsidP="003C5E24">
            <w:pPr>
              <w:jc w:val="both"/>
              <w:rPr>
                <w:sz w:val="22"/>
                <w:szCs w:val="22"/>
              </w:rPr>
            </w:pPr>
            <w:r w:rsidRPr="00590F02">
              <w:rPr>
                <w:spacing w:val="-1"/>
                <w:sz w:val="22"/>
                <w:szCs w:val="22"/>
              </w:rPr>
              <w:t>Обрання голови та секретаря річних загальних зборів акціонерів Товариства</w:t>
            </w:r>
            <w:r w:rsidRPr="00590F02">
              <w:rPr>
                <w:sz w:val="22"/>
                <w:szCs w:val="22"/>
              </w:rPr>
              <w:t xml:space="preserve"> </w:t>
            </w:r>
          </w:p>
        </w:tc>
        <w:tc>
          <w:tcPr>
            <w:tcW w:w="6095" w:type="dxa"/>
            <w:shd w:val="clear" w:color="auto" w:fill="auto"/>
          </w:tcPr>
          <w:p w:rsidR="00C40371" w:rsidRPr="00590F02" w:rsidRDefault="00C40371" w:rsidP="003C5E24">
            <w:pPr>
              <w:shd w:val="clear" w:color="auto" w:fill="FFFFFF"/>
              <w:ind w:left="34"/>
              <w:jc w:val="both"/>
              <w:rPr>
                <w:sz w:val="22"/>
                <w:szCs w:val="22"/>
              </w:rPr>
            </w:pPr>
            <w:r w:rsidRPr="00590F02">
              <w:rPr>
                <w:spacing w:val="-6"/>
                <w:sz w:val="22"/>
                <w:szCs w:val="22"/>
              </w:rPr>
              <w:t xml:space="preserve">Обрати </w:t>
            </w:r>
            <w:proofErr w:type="spellStart"/>
            <w:r w:rsidRPr="00590F02">
              <w:rPr>
                <w:sz w:val="22"/>
                <w:szCs w:val="22"/>
              </w:rPr>
              <w:t>Берковського</w:t>
            </w:r>
            <w:proofErr w:type="spellEnd"/>
            <w:r w:rsidRPr="00590F02">
              <w:rPr>
                <w:sz w:val="22"/>
                <w:szCs w:val="22"/>
              </w:rPr>
              <w:t xml:space="preserve"> В. Б. </w:t>
            </w:r>
            <w:r w:rsidRPr="00590F02">
              <w:rPr>
                <w:spacing w:val="-6"/>
                <w:sz w:val="22"/>
                <w:szCs w:val="22"/>
              </w:rPr>
              <w:t>г</w:t>
            </w:r>
            <w:r w:rsidRPr="00590F02">
              <w:rPr>
                <w:sz w:val="22"/>
                <w:szCs w:val="22"/>
              </w:rPr>
              <w:t xml:space="preserve">оловою річних загальних зборів акціонерів Товариства  та </w:t>
            </w:r>
            <w:proofErr w:type="spellStart"/>
            <w:r w:rsidRPr="00590F02">
              <w:rPr>
                <w:spacing w:val="-6"/>
                <w:sz w:val="22"/>
                <w:szCs w:val="22"/>
              </w:rPr>
              <w:t>Ковган</w:t>
            </w:r>
            <w:proofErr w:type="spellEnd"/>
            <w:r w:rsidRPr="00590F02">
              <w:rPr>
                <w:spacing w:val="-6"/>
                <w:sz w:val="22"/>
                <w:szCs w:val="22"/>
              </w:rPr>
              <w:t xml:space="preserve"> Л. М. </w:t>
            </w:r>
            <w:r w:rsidRPr="00590F02">
              <w:rPr>
                <w:spacing w:val="-1"/>
                <w:sz w:val="22"/>
                <w:szCs w:val="22"/>
              </w:rPr>
              <w:t>секретарем річних загальних зборів акціонерів Товариства.</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3</w:t>
            </w:r>
          </w:p>
        </w:tc>
        <w:tc>
          <w:tcPr>
            <w:tcW w:w="3119" w:type="dxa"/>
            <w:shd w:val="clear" w:color="auto" w:fill="auto"/>
          </w:tcPr>
          <w:p w:rsidR="00C40371" w:rsidRPr="00590F02" w:rsidRDefault="00C40371" w:rsidP="003C5E24">
            <w:pPr>
              <w:jc w:val="both"/>
              <w:rPr>
                <w:sz w:val="22"/>
                <w:szCs w:val="22"/>
              </w:rPr>
            </w:pPr>
            <w:r w:rsidRPr="00590F02">
              <w:rPr>
                <w:sz w:val="22"/>
                <w:szCs w:val="22"/>
              </w:rPr>
              <w:t>Затвердження порядку проведення річних загальних зборів акціонерів Товариства</w:t>
            </w:r>
          </w:p>
        </w:tc>
        <w:tc>
          <w:tcPr>
            <w:tcW w:w="6095" w:type="dxa"/>
            <w:shd w:val="clear" w:color="auto" w:fill="auto"/>
          </w:tcPr>
          <w:p w:rsidR="00C40371" w:rsidRPr="00590F02" w:rsidRDefault="00C40371" w:rsidP="003C5E24">
            <w:pPr>
              <w:shd w:val="clear" w:color="auto" w:fill="FFFFFF"/>
              <w:jc w:val="both"/>
              <w:rPr>
                <w:sz w:val="22"/>
                <w:szCs w:val="22"/>
              </w:rPr>
            </w:pPr>
            <w:r w:rsidRPr="00590F02">
              <w:rPr>
                <w:sz w:val="22"/>
                <w:szCs w:val="22"/>
              </w:rPr>
              <w:t xml:space="preserve">Встановити наступний порядок проведення річних загальних зборів акціонерів Товариства:  </w:t>
            </w:r>
          </w:p>
          <w:p w:rsidR="00C40371" w:rsidRPr="00590F02" w:rsidRDefault="00C40371" w:rsidP="003C5E24">
            <w:pPr>
              <w:shd w:val="clear" w:color="auto" w:fill="FFFFFF"/>
              <w:jc w:val="both"/>
              <w:rPr>
                <w:sz w:val="22"/>
                <w:szCs w:val="22"/>
              </w:rPr>
            </w:pPr>
            <w:r w:rsidRPr="00590F02">
              <w:rPr>
                <w:sz w:val="22"/>
                <w:szCs w:val="22"/>
              </w:rPr>
              <w:t>1. Час для виступів з питань порядку денного до 10 хвилин;</w:t>
            </w:r>
          </w:p>
          <w:p w:rsidR="00C40371" w:rsidRPr="00590F02" w:rsidRDefault="00C40371" w:rsidP="003C5E24">
            <w:pPr>
              <w:shd w:val="clear" w:color="auto" w:fill="FFFFFF"/>
              <w:jc w:val="both"/>
              <w:rPr>
                <w:sz w:val="22"/>
                <w:szCs w:val="22"/>
              </w:rPr>
            </w:pPr>
            <w:r w:rsidRPr="00590F02">
              <w:rPr>
                <w:sz w:val="22"/>
                <w:szCs w:val="22"/>
              </w:rPr>
              <w:t xml:space="preserve">2. Час для виступів в дебатах та обговорення - до 5 хвилин; </w:t>
            </w:r>
          </w:p>
          <w:p w:rsidR="00C40371" w:rsidRPr="00590F02" w:rsidRDefault="00C40371" w:rsidP="003C5E24">
            <w:pPr>
              <w:shd w:val="clear" w:color="auto" w:fill="FFFFFF"/>
              <w:jc w:val="both"/>
              <w:rPr>
                <w:sz w:val="22"/>
                <w:szCs w:val="22"/>
              </w:rPr>
            </w:pPr>
            <w:r w:rsidRPr="00590F02">
              <w:rPr>
                <w:sz w:val="22"/>
                <w:szCs w:val="22"/>
              </w:rPr>
              <w:t xml:space="preserve">3. Розгляд кожного питання порядку денного  розпочинати із заслуховування доповіді з цього питання, після чого голові зборів оголошувати проект рішення, після чого переходити до голосування. </w:t>
            </w:r>
          </w:p>
          <w:p w:rsidR="00C40371" w:rsidRPr="00590F02" w:rsidRDefault="00C40371" w:rsidP="003C5E24">
            <w:pPr>
              <w:shd w:val="clear" w:color="auto" w:fill="FFFFFF"/>
              <w:jc w:val="both"/>
              <w:rPr>
                <w:sz w:val="22"/>
                <w:szCs w:val="22"/>
              </w:rPr>
            </w:pPr>
            <w:r w:rsidRPr="00590F02">
              <w:rPr>
                <w:sz w:val="22"/>
                <w:szCs w:val="22"/>
              </w:rPr>
              <w:t xml:space="preserve">4. Голосування з усіх питань порядку денного проводити </w:t>
            </w:r>
            <w:r w:rsidR="002513D5">
              <w:rPr>
                <w:sz w:val="22"/>
                <w:szCs w:val="22"/>
              </w:rPr>
              <w:t>відкритим шляхом</w:t>
            </w:r>
            <w:r w:rsidRPr="00590F02">
              <w:rPr>
                <w:sz w:val="22"/>
                <w:szCs w:val="22"/>
              </w:rPr>
              <w:t>.</w:t>
            </w:r>
          </w:p>
          <w:p w:rsidR="00C40371" w:rsidRPr="00590F02" w:rsidRDefault="00C40371" w:rsidP="003C5E24">
            <w:pPr>
              <w:rPr>
                <w:sz w:val="22"/>
                <w:szCs w:val="22"/>
              </w:rPr>
            </w:pPr>
            <w:r w:rsidRPr="00590F02">
              <w:rPr>
                <w:sz w:val="22"/>
                <w:szCs w:val="22"/>
              </w:rPr>
              <w:t>5. Після вичерпання порядку денного та оголошення результатів голосування з кожного питання порядку денного загальних зборів голові зборів оголосити про їх закриття.</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4</w:t>
            </w:r>
          </w:p>
        </w:tc>
        <w:tc>
          <w:tcPr>
            <w:tcW w:w="3119" w:type="dxa"/>
            <w:shd w:val="clear" w:color="auto" w:fill="auto"/>
          </w:tcPr>
          <w:p w:rsidR="00C40371" w:rsidRPr="00590F02" w:rsidRDefault="00C40371" w:rsidP="002513D5">
            <w:pPr>
              <w:jc w:val="both"/>
              <w:rPr>
                <w:sz w:val="22"/>
                <w:szCs w:val="22"/>
              </w:rPr>
            </w:pPr>
            <w:r w:rsidRPr="00590F02">
              <w:rPr>
                <w:sz w:val="22"/>
                <w:szCs w:val="22"/>
              </w:rPr>
              <w:t>Звіт Генерального директора за результатами роботи за 202</w:t>
            </w:r>
            <w:r w:rsidR="002513D5">
              <w:rPr>
                <w:sz w:val="22"/>
                <w:szCs w:val="22"/>
              </w:rPr>
              <w:t>1</w:t>
            </w:r>
            <w:r w:rsidRPr="00590F02">
              <w:rPr>
                <w:sz w:val="22"/>
                <w:szCs w:val="22"/>
              </w:rPr>
              <w:t xml:space="preserve"> рік та прийняття рішення за наслідками його розгляду</w:t>
            </w:r>
          </w:p>
        </w:tc>
        <w:tc>
          <w:tcPr>
            <w:tcW w:w="6095" w:type="dxa"/>
            <w:shd w:val="clear" w:color="auto" w:fill="auto"/>
          </w:tcPr>
          <w:p w:rsidR="00C40371" w:rsidRPr="00590F02" w:rsidRDefault="00C40371" w:rsidP="002513D5">
            <w:pPr>
              <w:shd w:val="clear" w:color="auto" w:fill="FFFFFF"/>
              <w:ind w:left="29"/>
              <w:jc w:val="both"/>
              <w:rPr>
                <w:sz w:val="22"/>
                <w:szCs w:val="22"/>
              </w:rPr>
            </w:pPr>
            <w:r w:rsidRPr="00590F02">
              <w:rPr>
                <w:sz w:val="22"/>
                <w:szCs w:val="22"/>
              </w:rPr>
              <w:t>Затвердити звіт Генерального директора за результатами роботи за 202</w:t>
            </w:r>
            <w:r w:rsidR="002513D5">
              <w:rPr>
                <w:sz w:val="22"/>
                <w:szCs w:val="22"/>
              </w:rPr>
              <w:t>1</w:t>
            </w:r>
            <w:r w:rsidRPr="00590F02">
              <w:rPr>
                <w:sz w:val="22"/>
                <w:szCs w:val="22"/>
              </w:rPr>
              <w:t xml:space="preserve"> рік та визнати роботу виконавчого органу Товариства задовільною. </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5</w:t>
            </w:r>
          </w:p>
        </w:tc>
        <w:tc>
          <w:tcPr>
            <w:tcW w:w="3119" w:type="dxa"/>
            <w:shd w:val="clear" w:color="auto" w:fill="auto"/>
          </w:tcPr>
          <w:p w:rsidR="00C40371" w:rsidRPr="00590F02" w:rsidRDefault="00C40371" w:rsidP="002513D5">
            <w:pPr>
              <w:widowControl w:val="0"/>
              <w:shd w:val="clear" w:color="auto" w:fill="FFFFFF"/>
              <w:tabs>
                <w:tab w:val="left" w:pos="709"/>
              </w:tabs>
              <w:autoSpaceDE w:val="0"/>
              <w:autoSpaceDN w:val="0"/>
              <w:adjustRightInd w:val="0"/>
              <w:jc w:val="both"/>
              <w:rPr>
                <w:sz w:val="22"/>
                <w:szCs w:val="22"/>
              </w:rPr>
            </w:pPr>
            <w:r w:rsidRPr="00590F02">
              <w:rPr>
                <w:sz w:val="22"/>
                <w:szCs w:val="22"/>
              </w:rPr>
              <w:t>Звіт Ревізора за 202</w:t>
            </w:r>
            <w:r w:rsidR="002513D5">
              <w:rPr>
                <w:sz w:val="22"/>
                <w:szCs w:val="22"/>
              </w:rPr>
              <w:t>1</w:t>
            </w:r>
            <w:r w:rsidRPr="00590F02">
              <w:rPr>
                <w:sz w:val="22"/>
                <w:szCs w:val="22"/>
              </w:rPr>
              <w:t xml:space="preserve"> рік та прийняття рішення за наслідками його розгляду, затвердження висновків Ревізора. </w:t>
            </w:r>
          </w:p>
        </w:tc>
        <w:tc>
          <w:tcPr>
            <w:tcW w:w="6095" w:type="dxa"/>
            <w:shd w:val="clear" w:color="auto" w:fill="auto"/>
          </w:tcPr>
          <w:p w:rsidR="00C40371" w:rsidRPr="00590F02" w:rsidRDefault="00C40371" w:rsidP="002513D5">
            <w:pPr>
              <w:shd w:val="clear" w:color="auto" w:fill="FFFFFF"/>
              <w:tabs>
                <w:tab w:val="left" w:leader="underscore" w:pos="4820"/>
                <w:tab w:val="left" w:leader="underscore" w:pos="9317"/>
              </w:tabs>
              <w:jc w:val="both"/>
              <w:rPr>
                <w:sz w:val="22"/>
                <w:szCs w:val="22"/>
              </w:rPr>
            </w:pPr>
            <w:r w:rsidRPr="00590F02">
              <w:rPr>
                <w:sz w:val="22"/>
                <w:szCs w:val="22"/>
              </w:rPr>
              <w:t>Затвердити звіт та висновки Ревізора за результатами діяльності у 202</w:t>
            </w:r>
            <w:r w:rsidR="002513D5">
              <w:rPr>
                <w:sz w:val="22"/>
                <w:szCs w:val="22"/>
              </w:rPr>
              <w:t>1</w:t>
            </w:r>
            <w:r w:rsidRPr="00590F02">
              <w:rPr>
                <w:sz w:val="22"/>
                <w:szCs w:val="22"/>
              </w:rPr>
              <w:t xml:space="preserve"> році. Визнати роботу Ревізора задовільною. </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t>6</w:t>
            </w:r>
          </w:p>
        </w:tc>
        <w:tc>
          <w:tcPr>
            <w:tcW w:w="3119" w:type="dxa"/>
            <w:shd w:val="clear" w:color="auto" w:fill="auto"/>
          </w:tcPr>
          <w:p w:rsidR="00C40371" w:rsidRPr="00590F02" w:rsidRDefault="00C40371" w:rsidP="002513D5">
            <w:pPr>
              <w:widowControl w:val="0"/>
              <w:shd w:val="clear" w:color="auto" w:fill="FFFFFF"/>
              <w:tabs>
                <w:tab w:val="left" w:pos="709"/>
              </w:tabs>
              <w:autoSpaceDE w:val="0"/>
              <w:autoSpaceDN w:val="0"/>
              <w:adjustRightInd w:val="0"/>
              <w:jc w:val="both"/>
              <w:rPr>
                <w:sz w:val="22"/>
                <w:szCs w:val="22"/>
              </w:rPr>
            </w:pPr>
            <w:r w:rsidRPr="00590F02">
              <w:rPr>
                <w:sz w:val="22"/>
                <w:szCs w:val="22"/>
              </w:rPr>
              <w:t>Затвердження річного звіту Товариства за 202</w:t>
            </w:r>
            <w:r w:rsidR="002513D5">
              <w:rPr>
                <w:sz w:val="22"/>
                <w:szCs w:val="22"/>
              </w:rPr>
              <w:t>1</w:t>
            </w:r>
            <w:r w:rsidRPr="00590F02">
              <w:rPr>
                <w:sz w:val="22"/>
                <w:szCs w:val="22"/>
              </w:rPr>
              <w:t xml:space="preserve"> рік. </w:t>
            </w:r>
          </w:p>
        </w:tc>
        <w:tc>
          <w:tcPr>
            <w:tcW w:w="6095" w:type="dxa"/>
            <w:shd w:val="clear" w:color="auto" w:fill="auto"/>
          </w:tcPr>
          <w:p w:rsidR="00C40371" w:rsidRPr="00590F02" w:rsidRDefault="00C40371" w:rsidP="002513D5">
            <w:pPr>
              <w:widowControl w:val="0"/>
              <w:shd w:val="clear" w:color="auto" w:fill="FFFFFF"/>
              <w:tabs>
                <w:tab w:val="left" w:pos="709"/>
              </w:tabs>
              <w:autoSpaceDE w:val="0"/>
              <w:autoSpaceDN w:val="0"/>
              <w:adjustRightInd w:val="0"/>
              <w:spacing w:line="274" w:lineRule="exact"/>
              <w:ind w:left="34"/>
              <w:jc w:val="both"/>
              <w:rPr>
                <w:sz w:val="22"/>
                <w:szCs w:val="22"/>
              </w:rPr>
            </w:pPr>
            <w:r w:rsidRPr="00590F02">
              <w:rPr>
                <w:sz w:val="22"/>
                <w:szCs w:val="22"/>
              </w:rPr>
              <w:t>Затвердити річний звіт Товариства за 202</w:t>
            </w:r>
            <w:r w:rsidR="002513D5">
              <w:rPr>
                <w:sz w:val="22"/>
                <w:szCs w:val="22"/>
              </w:rPr>
              <w:t>1</w:t>
            </w:r>
            <w:r w:rsidRPr="00590F02">
              <w:rPr>
                <w:sz w:val="22"/>
                <w:szCs w:val="22"/>
              </w:rPr>
              <w:t xml:space="preserve"> рік, який включає річну інформацію емітента цінних паперів та річну фінансову звітність за 202</w:t>
            </w:r>
            <w:r w:rsidR="002513D5">
              <w:rPr>
                <w:sz w:val="22"/>
                <w:szCs w:val="22"/>
              </w:rPr>
              <w:t>1</w:t>
            </w:r>
            <w:r w:rsidRPr="00590F02">
              <w:rPr>
                <w:sz w:val="22"/>
                <w:szCs w:val="22"/>
              </w:rPr>
              <w:t xml:space="preserve"> рік. </w:t>
            </w:r>
          </w:p>
        </w:tc>
      </w:tr>
      <w:tr w:rsidR="00C40371" w:rsidRPr="00590F02" w:rsidTr="003C5E24">
        <w:tc>
          <w:tcPr>
            <w:tcW w:w="810" w:type="dxa"/>
            <w:shd w:val="clear" w:color="auto" w:fill="auto"/>
          </w:tcPr>
          <w:p w:rsidR="00C40371" w:rsidRPr="00590F02" w:rsidRDefault="00C40371" w:rsidP="003C5E24">
            <w:pPr>
              <w:jc w:val="center"/>
              <w:rPr>
                <w:sz w:val="22"/>
                <w:szCs w:val="22"/>
              </w:rPr>
            </w:pPr>
            <w:r w:rsidRPr="00590F02">
              <w:rPr>
                <w:sz w:val="22"/>
                <w:szCs w:val="22"/>
              </w:rPr>
              <w:lastRenderedPageBreak/>
              <w:t>7</w:t>
            </w:r>
          </w:p>
        </w:tc>
        <w:tc>
          <w:tcPr>
            <w:tcW w:w="3119" w:type="dxa"/>
            <w:shd w:val="clear" w:color="auto" w:fill="auto"/>
          </w:tcPr>
          <w:p w:rsidR="00C40371" w:rsidRPr="00590F02" w:rsidRDefault="00C40371" w:rsidP="003C5E24">
            <w:pPr>
              <w:widowControl w:val="0"/>
              <w:shd w:val="clear" w:color="auto" w:fill="FFFFFF"/>
              <w:tabs>
                <w:tab w:val="left" w:pos="709"/>
              </w:tabs>
              <w:autoSpaceDE w:val="0"/>
              <w:autoSpaceDN w:val="0"/>
              <w:adjustRightInd w:val="0"/>
              <w:jc w:val="both"/>
              <w:rPr>
                <w:sz w:val="22"/>
                <w:szCs w:val="22"/>
              </w:rPr>
            </w:pPr>
            <w:r w:rsidRPr="00590F02">
              <w:rPr>
                <w:sz w:val="22"/>
                <w:szCs w:val="22"/>
              </w:rPr>
              <w:t>Затвердження розподілу прибутку Товариства за 202</w:t>
            </w:r>
            <w:r w:rsidR="002513D5">
              <w:rPr>
                <w:sz w:val="22"/>
                <w:szCs w:val="22"/>
              </w:rPr>
              <w:t>1</w:t>
            </w:r>
            <w:r w:rsidRPr="00590F02">
              <w:rPr>
                <w:sz w:val="22"/>
                <w:szCs w:val="22"/>
              </w:rPr>
              <w:t xml:space="preserve"> рік. </w:t>
            </w:r>
          </w:p>
          <w:p w:rsidR="00C40371" w:rsidRPr="00590F02" w:rsidRDefault="00C40371" w:rsidP="003C5E24">
            <w:pPr>
              <w:jc w:val="center"/>
              <w:rPr>
                <w:sz w:val="22"/>
                <w:szCs w:val="22"/>
              </w:rPr>
            </w:pPr>
          </w:p>
        </w:tc>
        <w:tc>
          <w:tcPr>
            <w:tcW w:w="6095" w:type="dxa"/>
            <w:shd w:val="clear" w:color="auto" w:fill="auto"/>
          </w:tcPr>
          <w:p w:rsidR="00C40371" w:rsidRPr="00590F02" w:rsidRDefault="00C40371" w:rsidP="002513D5">
            <w:pPr>
              <w:shd w:val="clear" w:color="auto" w:fill="FFFFFF"/>
              <w:jc w:val="both"/>
              <w:rPr>
                <w:b/>
                <w:sz w:val="22"/>
                <w:szCs w:val="22"/>
              </w:rPr>
            </w:pPr>
            <w:r w:rsidRPr="00590F02">
              <w:rPr>
                <w:sz w:val="22"/>
                <w:szCs w:val="22"/>
              </w:rPr>
              <w:t xml:space="preserve">Чистий прибуток в розмірі </w:t>
            </w:r>
            <w:r w:rsidR="002513D5">
              <w:rPr>
                <w:sz w:val="22"/>
                <w:szCs w:val="22"/>
              </w:rPr>
              <w:t>173,2</w:t>
            </w:r>
            <w:r w:rsidR="002513D5" w:rsidRPr="001D0780">
              <w:rPr>
                <w:sz w:val="22"/>
                <w:szCs w:val="22"/>
              </w:rPr>
              <w:t xml:space="preserve"> </w:t>
            </w:r>
            <w:r w:rsidRPr="00590F02">
              <w:rPr>
                <w:sz w:val="22"/>
                <w:szCs w:val="22"/>
              </w:rPr>
              <w:t xml:space="preserve"> тис. грн, отриманий за підсумками роботи Товариства за 202</w:t>
            </w:r>
            <w:r w:rsidR="002513D5">
              <w:rPr>
                <w:sz w:val="22"/>
                <w:szCs w:val="22"/>
              </w:rPr>
              <w:t>1</w:t>
            </w:r>
            <w:r w:rsidRPr="00590F02">
              <w:rPr>
                <w:sz w:val="22"/>
                <w:szCs w:val="22"/>
              </w:rPr>
              <w:t xml:space="preserve"> рік, спрямувати на розвиток Товариства. Дивіденди за результатами роботи Товариства за 202</w:t>
            </w:r>
            <w:r w:rsidR="002513D5">
              <w:rPr>
                <w:sz w:val="22"/>
                <w:szCs w:val="22"/>
              </w:rPr>
              <w:t>1</w:t>
            </w:r>
            <w:r w:rsidRPr="00590F02">
              <w:rPr>
                <w:sz w:val="22"/>
                <w:szCs w:val="22"/>
              </w:rPr>
              <w:t xml:space="preserve"> рік не нараховувати та не сплачувати.</w:t>
            </w:r>
          </w:p>
        </w:tc>
      </w:tr>
      <w:tr w:rsidR="005C2C32" w:rsidRPr="00590F02" w:rsidTr="003C5E24">
        <w:tc>
          <w:tcPr>
            <w:tcW w:w="810" w:type="dxa"/>
            <w:shd w:val="clear" w:color="auto" w:fill="auto"/>
          </w:tcPr>
          <w:p w:rsidR="005C2C32" w:rsidRPr="005C2C32" w:rsidRDefault="005C2C32" w:rsidP="003C5E24">
            <w:pPr>
              <w:jc w:val="center"/>
              <w:rPr>
                <w:sz w:val="22"/>
                <w:szCs w:val="22"/>
                <w:lang w:val="ru-RU"/>
              </w:rPr>
            </w:pPr>
            <w:r>
              <w:rPr>
                <w:sz w:val="22"/>
                <w:szCs w:val="22"/>
                <w:lang w:val="ru-RU"/>
              </w:rPr>
              <w:t>8</w:t>
            </w:r>
          </w:p>
        </w:tc>
        <w:tc>
          <w:tcPr>
            <w:tcW w:w="3119" w:type="dxa"/>
            <w:shd w:val="clear" w:color="auto" w:fill="auto"/>
          </w:tcPr>
          <w:p w:rsidR="005C2C32" w:rsidRPr="00455F52" w:rsidRDefault="002A38E9" w:rsidP="002A38E9">
            <w:pPr>
              <w:widowControl w:val="0"/>
              <w:shd w:val="clear" w:color="auto" w:fill="FFFFFF"/>
              <w:tabs>
                <w:tab w:val="left" w:pos="0"/>
              </w:tabs>
              <w:autoSpaceDE w:val="0"/>
              <w:autoSpaceDN w:val="0"/>
              <w:adjustRightInd w:val="0"/>
              <w:ind w:left="33"/>
              <w:rPr>
                <w:sz w:val="22"/>
                <w:szCs w:val="22"/>
              </w:rPr>
            </w:pPr>
            <w:r w:rsidRPr="00455F52">
              <w:rPr>
                <w:sz w:val="22"/>
                <w:szCs w:val="22"/>
              </w:rPr>
              <w:t>Обрання Ревізора Товариства</w:t>
            </w:r>
          </w:p>
        </w:tc>
        <w:tc>
          <w:tcPr>
            <w:tcW w:w="6095" w:type="dxa"/>
            <w:shd w:val="clear" w:color="auto" w:fill="auto"/>
          </w:tcPr>
          <w:p w:rsidR="00455F52" w:rsidRPr="00455F52" w:rsidRDefault="00455F52" w:rsidP="00455F52">
            <w:pPr>
              <w:shd w:val="clear" w:color="auto" w:fill="FFFFFF"/>
              <w:jc w:val="both"/>
              <w:rPr>
                <w:sz w:val="22"/>
                <w:szCs w:val="22"/>
              </w:rPr>
            </w:pPr>
            <w:r w:rsidRPr="00455F52">
              <w:rPr>
                <w:spacing w:val="-6"/>
                <w:sz w:val="22"/>
                <w:szCs w:val="22"/>
              </w:rPr>
              <w:t xml:space="preserve">Обрати </w:t>
            </w:r>
            <w:proofErr w:type="spellStart"/>
            <w:r w:rsidRPr="00455F52">
              <w:rPr>
                <w:spacing w:val="-6"/>
                <w:sz w:val="22"/>
                <w:szCs w:val="22"/>
              </w:rPr>
              <w:t>Ковган</w:t>
            </w:r>
            <w:proofErr w:type="spellEnd"/>
            <w:r w:rsidRPr="00455F52">
              <w:rPr>
                <w:spacing w:val="-6"/>
                <w:sz w:val="22"/>
                <w:szCs w:val="22"/>
              </w:rPr>
              <w:t xml:space="preserve"> Леонілу Миколаївну</w:t>
            </w:r>
            <w:r w:rsidRPr="00455F52">
              <w:rPr>
                <w:sz w:val="22"/>
                <w:szCs w:val="22"/>
              </w:rPr>
              <w:t xml:space="preserve"> Ревізором Товариства на строк три роки</w:t>
            </w:r>
            <w:r w:rsidRPr="00455F52">
              <w:rPr>
                <w:spacing w:val="-1"/>
                <w:sz w:val="22"/>
                <w:szCs w:val="22"/>
              </w:rPr>
              <w:t>.</w:t>
            </w:r>
          </w:p>
          <w:p w:rsidR="00455F52" w:rsidRPr="00455F52" w:rsidRDefault="00455F52" w:rsidP="00455F52">
            <w:pPr>
              <w:shd w:val="clear" w:color="auto" w:fill="FFFFFF"/>
              <w:ind w:left="29"/>
              <w:jc w:val="both"/>
              <w:rPr>
                <w:sz w:val="22"/>
                <w:szCs w:val="22"/>
              </w:rPr>
            </w:pPr>
            <w:r w:rsidRPr="00455F52">
              <w:rPr>
                <w:sz w:val="22"/>
                <w:szCs w:val="22"/>
              </w:rPr>
              <w:t xml:space="preserve">Затвердити умови цивільно-правового договору, який буде укладатися з Ревізором </w:t>
            </w:r>
            <w:proofErr w:type="spellStart"/>
            <w:r w:rsidRPr="00455F52">
              <w:rPr>
                <w:spacing w:val="-6"/>
                <w:sz w:val="22"/>
                <w:szCs w:val="22"/>
              </w:rPr>
              <w:t>Ковган</w:t>
            </w:r>
            <w:proofErr w:type="spellEnd"/>
            <w:r w:rsidRPr="00455F52">
              <w:rPr>
                <w:spacing w:val="-6"/>
                <w:sz w:val="22"/>
                <w:szCs w:val="22"/>
              </w:rPr>
              <w:t xml:space="preserve"> Леонілою Миколаївною</w:t>
            </w:r>
            <w:r w:rsidRPr="00455F52">
              <w:rPr>
                <w:sz w:val="22"/>
                <w:szCs w:val="22"/>
              </w:rPr>
              <w:t>.</w:t>
            </w:r>
          </w:p>
          <w:p w:rsidR="005C2C32" w:rsidRPr="00455F52" w:rsidRDefault="00455F52" w:rsidP="00455F52">
            <w:pPr>
              <w:jc w:val="both"/>
              <w:rPr>
                <w:sz w:val="22"/>
                <w:szCs w:val="22"/>
              </w:rPr>
            </w:pPr>
            <w:r w:rsidRPr="00455F52">
              <w:rPr>
                <w:sz w:val="22"/>
                <w:szCs w:val="22"/>
              </w:rPr>
              <w:t xml:space="preserve"> Уповноважити Генерального директора Товариства </w:t>
            </w:r>
            <w:proofErr w:type="spellStart"/>
            <w:r w:rsidRPr="00455F52">
              <w:rPr>
                <w:sz w:val="22"/>
                <w:szCs w:val="22"/>
              </w:rPr>
              <w:t>Берковського</w:t>
            </w:r>
            <w:proofErr w:type="spellEnd"/>
            <w:r w:rsidRPr="00455F52">
              <w:rPr>
                <w:sz w:val="22"/>
                <w:szCs w:val="22"/>
              </w:rPr>
              <w:t xml:space="preserve"> В. Б. підписати цивільно-правовий договір з Ревізором Товариства  </w:t>
            </w:r>
            <w:proofErr w:type="spellStart"/>
            <w:r w:rsidRPr="00455F52">
              <w:rPr>
                <w:spacing w:val="-6"/>
                <w:sz w:val="22"/>
                <w:szCs w:val="22"/>
              </w:rPr>
              <w:t>Ковган</w:t>
            </w:r>
            <w:proofErr w:type="spellEnd"/>
            <w:r w:rsidRPr="00455F52">
              <w:rPr>
                <w:spacing w:val="-6"/>
                <w:sz w:val="22"/>
                <w:szCs w:val="22"/>
              </w:rPr>
              <w:t xml:space="preserve"> Леонілою Миколаївною</w:t>
            </w:r>
          </w:p>
        </w:tc>
      </w:tr>
      <w:tr w:rsidR="00C40371" w:rsidRPr="00590F02" w:rsidTr="003C5E24">
        <w:tc>
          <w:tcPr>
            <w:tcW w:w="810" w:type="dxa"/>
            <w:shd w:val="clear" w:color="auto" w:fill="auto"/>
          </w:tcPr>
          <w:p w:rsidR="00C40371" w:rsidRPr="005C2C32" w:rsidRDefault="005C2C32" w:rsidP="003C5E24">
            <w:pPr>
              <w:jc w:val="center"/>
              <w:rPr>
                <w:sz w:val="22"/>
                <w:szCs w:val="22"/>
                <w:lang w:val="ru-RU"/>
              </w:rPr>
            </w:pPr>
            <w:r>
              <w:rPr>
                <w:sz w:val="22"/>
                <w:szCs w:val="22"/>
                <w:lang w:val="ru-RU"/>
              </w:rPr>
              <w:t>9</w:t>
            </w:r>
          </w:p>
        </w:tc>
        <w:tc>
          <w:tcPr>
            <w:tcW w:w="3119" w:type="dxa"/>
            <w:shd w:val="clear" w:color="auto" w:fill="auto"/>
          </w:tcPr>
          <w:p w:rsidR="00C40371" w:rsidRPr="00590F02" w:rsidRDefault="00C40371" w:rsidP="003C5E24">
            <w:pPr>
              <w:widowControl w:val="0"/>
              <w:shd w:val="clear" w:color="auto" w:fill="FFFFFF"/>
              <w:tabs>
                <w:tab w:val="left" w:pos="0"/>
              </w:tabs>
              <w:autoSpaceDE w:val="0"/>
              <w:autoSpaceDN w:val="0"/>
              <w:adjustRightInd w:val="0"/>
              <w:ind w:left="33"/>
              <w:jc w:val="both"/>
              <w:rPr>
                <w:sz w:val="22"/>
                <w:szCs w:val="22"/>
              </w:rPr>
            </w:pPr>
            <w:r w:rsidRPr="00590F02">
              <w:rPr>
                <w:sz w:val="22"/>
                <w:szCs w:val="22"/>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r w:rsidR="00A71E01">
              <w:rPr>
                <w:sz w:val="22"/>
                <w:szCs w:val="22"/>
              </w:rPr>
              <w:t xml:space="preserve"> або </w:t>
            </w:r>
            <w:r w:rsidR="00A71E01">
              <w:rPr>
                <w:sz w:val="22"/>
                <w:szCs w:val="22"/>
                <w:lang w:val="ru-RU"/>
              </w:rPr>
              <w:t xml:space="preserve">до </w:t>
            </w:r>
            <w:proofErr w:type="spellStart"/>
            <w:r w:rsidR="00A71E01">
              <w:rPr>
                <w:sz w:val="22"/>
                <w:szCs w:val="22"/>
                <w:lang w:val="ru-RU"/>
              </w:rPr>
              <w:t>наступних</w:t>
            </w:r>
            <w:proofErr w:type="spellEnd"/>
            <w:r w:rsidR="00A71E01">
              <w:rPr>
                <w:sz w:val="22"/>
                <w:szCs w:val="22"/>
                <w:lang w:val="ru-RU"/>
              </w:rPr>
              <w:t xml:space="preserve"> </w:t>
            </w:r>
            <w:proofErr w:type="spellStart"/>
            <w:r w:rsidR="00A71E01">
              <w:rPr>
                <w:sz w:val="22"/>
                <w:szCs w:val="22"/>
                <w:lang w:val="ru-RU"/>
              </w:rPr>
              <w:t>річних</w:t>
            </w:r>
            <w:proofErr w:type="spellEnd"/>
            <w:r w:rsidR="00A71E01">
              <w:rPr>
                <w:sz w:val="22"/>
                <w:szCs w:val="22"/>
                <w:lang w:val="ru-RU"/>
              </w:rPr>
              <w:t xml:space="preserve"> </w:t>
            </w:r>
            <w:proofErr w:type="spellStart"/>
            <w:r w:rsidR="00A71E01">
              <w:rPr>
                <w:sz w:val="22"/>
                <w:szCs w:val="22"/>
                <w:lang w:val="ru-RU"/>
              </w:rPr>
              <w:t>загальних</w:t>
            </w:r>
            <w:proofErr w:type="spellEnd"/>
            <w:r w:rsidR="00A71E01">
              <w:rPr>
                <w:sz w:val="22"/>
                <w:szCs w:val="22"/>
                <w:lang w:val="ru-RU"/>
              </w:rPr>
              <w:t xml:space="preserve"> </w:t>
            </w:r>
            <w:proofErr w:type="spellStart"/>
            <w:r w:rsidR="00A71E01">
              <w:rPr>
                <w:sz w:val="22"/>
                <w:szCs w:val="22"/>
                <w:lang w:val="ru-RU"/>
              </w:rPr>
              <w:t>зборів</w:t>
            </w:r>
            <w:proofErr w:type="spellEnd"/>
            <w:r w:rsidR="00A71E01">
              <w:rPr>
                <w:sz w:val="22"/>
                <w:szCs w:val="22"/>
                <w:lang w:val="ru-RU"/>
              </w:rPr>
              <w:t xml:space="preserve"> </w:t>
            </w:r>
            <w:proofErr w:type="spellStart"/>
            <w:r w:rsidR="00A71E01">
              <w:rPr>
                <w:sz w:val="22"/>
                <w:szCs w:val="22"/>
                <w:lang w:val="ru-RU"/>
              </w:rPr>
              <w:t>акціонерів</w:t>
            </w:r>
            <w:proofErr w:type="spellEnd"/>
            <w:r w:rsidR="00A71E01" w:rsidRPr="001D0780">
              <w:rPr>
                <w:sz w:val="22"/>
                <w:szCs w:val="22"/>
                <w:lang w:val="ru-RU"/>
              </w:rPr>
              <w:t>.</w:t>
            </w:r>
            <w:r w:rsidRPr="00590F02">
              <w:rPr>
                <w:sz w:val="22"/>
                <w:szCs w:val="22"/>
              </w:rPr>
              <w:t>.</w:t>
            </w:r>
          </w:p>
        </w:tc>
        <w:tc>
          <w:tcPr>
            <w:tcW w:w="6095" w:type="dxa"/>
            <w:shd w:val="clear" w:color="auto" w:fill="auto"/>
          </w:tcPr>
          <w:p w:rsidR="00C40371" w:rsidRPr="00590F02" w:rsidRDefault="00C40371" w:rsidP="003C5E24">
            <w:pPr>
              <w:jc w:val="both"/>
              <w:rPr>
                <w:sz w:val="22"/>
                <w:szCs w:val="22"/>
              </w:rPr>
            </w:pPr>
            <w:r w:rsidRPr="00590F02">
              <w:rPr>
                <w:sz w:val="22"/>
                <w:szCs w:val="22"/>
              </w:rPr>
              <w:t>Попередньо надати згоду на вчинення значних правочинів, які будуть вчинятись Товариством у ході поточної діяльності протягом одного року з дати проведення цих загальних зборів:</w:t>
            </w:r>
          </w:p>
          <w:p w:rsidR="00C40371" w:rsidRPr="00590F02" w:rsidRDefault="00C40371" w:rsidP="00C40371">
            <w:pPr>
              <w:numPr>
                <w:ilvl w:val="0"/>
                <w:numId w:val="7"/>
              </w:numPr>
              <w:tabs>
                <w:tab w:val="clear" w:pos="540"/>
                <w:tab w:val="num" w:pos="0"/>
              </w:tabs>
              <w:ind w:left="172" w:hanging="142"/>
              <w:jc w:val="both"/>
              <w:rPr>
                <w:sz w:val="22"/>
                <w:szCs w:val="22"/>
              </w:rPr>
            </w:pPr>
            <w:r w:rsidRPr="00590F02">
              <w:rPr>
                <w:sz w:val="22"/>
                <w:szCs w:val="22"/>
              </w:rPr>
              <w:t xml:space="preserve">Правочини, предметом яких є виконання робіт і надання послуг Товариством, та гранична вартість кожного правочину не повинна перевищувати суму  25 млн.  грн. (двадцять п’ять мільйонів гривень). </w:t>
            </w:r>
          </w:p>
          <w:p w:rsidR="00C40371" w:rsidRPr="00590F02" w:rsidRDefault="00C40371" w:rsidP="00C40371">
            <w:pPr>
              <w:numPr>
                <w:ilvl w:val="0"/>
                <w:numId w:val="7"/>
              </w:numPr>
              <w:tabs>
                <w:tab w:val="clear" w:pos="540"/>
                <w:tab w:val="num" w:pos="0"/>
              </w:tabs>
              <w:ind w:left="172" w:hanging="142"/>
              <w:jc w:val="both"/>
              <w:rPr>
                <w:sz w:val="22"/>
                <w:szCs w:val="22"/>
              </w:rPr>
            </w:pPr>
            <w:r w:rsidRPr="00590F02">
              <w:rPr>
                <w:sz w:val="22"/>
                <w:szCs w:val="22"/>
              </w:rPr>
              <w:t>Правочини щодо банківського обслуговування Товариства – розміщення грошових коштів Товариства на депозитних рахунках банків, які обслуговують Товариство – до 50% загальної вартості активів за звітний рік.</w:t>
            </w:r>
          </w:p>
          <w:p w:rsidR="00C40371" w:rsidRPr="00590F02" w:rsidRDefault="00C40371" w:rsidP="00B6535D">
            <w:pPr>
              <w:pStyle w:val="2"/>
              <w:spacing w:after="0" w:line="240" w:lineRule="auto"/>
              <w:jc w:val="both"/>
              <w:rPr>
                <w:sz w:val="22"/>
                <w:szCs w:val="22"/>
              </w:rPr>
            </w:pPr>
            <w:r w:rsidRPr="00590F02">
              <w:rPr>
                <w:sz w:val="22"/>
                <w:szCs w:val="22"/>
              </w:rPr>
              <w:t xml:space="preserve">Уповноважити Генерального директора </w:t>
            </w:r>
            <w:proofErr w:type="spellStart"/>
            <w:r w:rsidRPr="00590F02">
              <w:rPr>
                <w:sz w:val="22"/>
                <w:szCs w:val="22"/>
              </w:rPr>
              <w:t>Берковського</w:t>
            </w:r>
            <w:proofErr w:type="spellEnd"/>
            <w:r w:rsidRPr="00590F02">
              <w:rPr>
                <w:sz w:val="22"/>
                <w:szCs w:val="22"/>
              </w:rPr>
              <w:t xml:space="preserve"> В. Б.  </w:t>
            </w:r>
            <w:r w:rsidR="00A71E01" w:rsidRPr="00590F02">
              <w:rPr>
                <w:sz w:val="22"/>
                <w:szCs w:val="22"/>
              </w:rPr>
              <w:t xml:space="preserve">протягом одного року </w:t>
            </w:r>
            <w:r w:rsidRPr="00590F02">
              <w:rPr>
                <w:sz w:val="22"/>
                <w:szCs w:val="22"/>
              </w:rPr>
              <w:t>з дати проведення цих загальних зборів здійснювати всі необхідні дії щодо вчинення від імені Товариства вказаних правочинів</w:t>
            </w:r>
            <w:r w:rsidR="00B6535D">
              <w:rPr>
                <w:sz w:val="22"/>
                <w:szCs w:val="22"/>
              </w:rPr>
              <w:t xml:space="preserve"> </w:t>
            </w:r>
            <w:r w:rsidR="00A71E01">
              <w:rPr>
                <w:sz w:val="22"/>
                <w:szCs w:val="22"/>
              </w:rPr>
              <w:t xml:space="preserve">або </w:t>
            </w:r>
            <w:r w:rsidR="00B6535D" w:rsidRPr="00E14B87">
              <w:rPr>
                <w:sz w:val="22"/>
                <w:szCs w:val="22"/>
              </w:rPr>
              <w:t>до наступних річних загальних зборів акціонерів</w:t>
            </w:r>
            <w:r w:rsidRPr="00590F02">
              <w:rPr>
                <w:sz w:val="22"/>
                <w:szCs w:val="22"/>
              </w:rPr>
              <w:t>.</w:t>
            </w:r>
          </w:p>
        </w:tc>
      </w:tr>
    </w:tbl>
    <w:p w:rsidR="00C40371" w:rsidRPr="00590F02" w:rsidRDefault="00C40371" w:rsidP="00C40371">
      <w:pPr>
        <w:shd w:val="clear" w:color="auto" w:fill="FFFFFF"/>
        <w:ind w:left="7"/>
        <w:jc w:val="center"/>
        <w:rPr>
          <w:bCs/>
          <w:spacing w:val="-3"/>
          <w:sz w:val="22"/>
          <w:szCs w:val="22"/>
        </w:rPr>
      </w:pPr>
    </w:p>
    <w:p w:rsidR="00C40371" w:rsidRPr="00590F02" w:rsidRDefault="00C40371" w:rsidP="00C40371">
      <w:pPr>
        <w:shd w:val="clear" w:color="auto" w:fill="FFFFFF"/>
        <w:ind w:left="7"/>
        <w:jc w:val="both"/>
        <w:rPr>
          <w:bCs/>
          <w:spacing w:val="-3"/>
          <w:sz w:val="22"/>
          <w:szCs w:val="22"/>
        </w:rPr>
      </w:pPr>
      <w:r w:rsidRPr="00590F02">
        <w:rPr>
          <w:sz w:val="22"/>
          <w:szCs w:val="22"/>
        </w:rPr>
        <w:tab/>
        <w:t>Адреса веб-сайту, на якому розміщена інформація з проектом рішень щодо кожного з питань, включених до порядку денного: http://rpi.kiev.ua.</w:t>
      </w:r>
    </w:p>
    <w:p w:rsidR="00C40371" w:rsidRPr="00590F02" w:rsidRDefault="00C40371" w:rsidP="00C40371">
      <w:pPr>
        <w:shd w:val="clear" w:color="auto" w:fill="FFFFFF"/>
        <w:ind w:left="29"/>
        <w:jc w:val="both"/>
        <w:rPr>
          <w:sz w:val="22"/>
          <w:szCs w:val="22"/>
        </w:rPr>
      </w:pPr>
      <w:r w:rsidRPr="00590F02">
        <w:rPr>
          <w:sz w:val="22"/>
          <w:szCs w:val="22"/>
        </w:rPr>
        <w:tab/>
      </w:r>
      <w:r w:rsidR="00FE4CA3">
        <w:rPr>
          <w:sz w:val="22"/>
          <w:szCs w:val="22"/>
        </w:rPr>
        <w:t>К</w:t>
      </w:r>
      <w:r w:rsidRPr="00590F02">
        <w:rPr>
          <w:sz w:val="22"/>
          <w:szCs w:val="22"/>
        </w:rPr>
        <w:t xml:space="preserve">ожний акціонер має право ознайомитися з документами, необхідними для прийняття рішень з питань порядку денного, в день проведення загальних зборів у місці їх проведення. Посадова особа Товариства, відповідальна за порядок ознайомлення акціонерів з вищезазначеними документами: генеральний директор </w:t>
      </w:r>
      <w:proofErr w:type="spellStart"/>
      <w:r w:rsidRPr="00590F02">
        <w:rPr>
          <w:sz w:val="22"/>
          <w:szCs w:val="22"/>
        </w:rPr>
        <w:t>Берковський</w:t>
      </w:r>
      <w:proofErr w:type="spellEnd"/>
      <w:r w:rsidRPr="00590F02">
        <w:rPr>
          <w:sz w:val="22"/>
          <w:szCs w:val="22"/>
        </w:rPr>
        <w:t xml:space="preserve"> В. Б.</w:t>
      </w:r>
    </w:p>
    <w:p w:rsidR="00C40371" w:rsidRPr="00590F02" w:rsidRDefault="00C40371" w:rsidP="00C40371">
      <w:pPr>
        <w:shd w:val="clear" w:color="auto" w:fill="FFFFFF"/>
        <w:ind w:left="29"/>
        <w:jc w:val="both"/>
        <w:rPr>
          <w:sz w:val="22"/>
          <w:szCs w:val="22"/>
        </w:rPr>
      </w:pPr>
      <w:r w:rsidRPr="00590F02">
        <w:rPr>
          <w:sz w:val="22"/>
          <w:szCs w:val="22"/>
        </w:rPr>
        <w:tab/>
        <w:t xml:space="preserve">У річних загальних зборах акціонерів Товариства можуть брати участь особи, включені до переліку акціонерів, які мають право на таку участь, або їх представники. Для реєстрації акціонерам необхідно пред`явити документ, що посвідчує особу, представникам акціонерів додатково потрібно надати довіреність (або інший документ, що підтверджує їх повноваження), оформлену у відповідності до вимог чинного законодавства України. Представником акціонера на загальних зборах акціонерного товариства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C40371" w:rsidRPr="00590F02" w:rsidRDefault="00C40371" w:rsidP="00C40371">
      <w:pPr>
        <w:tabs>
          <w:tab w:val="left" w:pos="360"/>
        </w:tabs>
        <w:autoSpaceDE w:val="0"/>
        <w:autoSpaceDN w:val="0"/>
        <w:adjustRightInd w:val="0"/>
        <w:ind w:left="29"/>
        <w:jc w:val="both"/>
        <w:rPr>
          <w:sz w:val="22"/>
          <w:szCs w:val="22"/>
        </w:rPr>
      </w:pPr>
      <w:r w:rsidRPr="00590F02">
        <w:rPr>
          <w:sz w:val="22"/>
          <w:szCs w:val="22"/>
        </w:rPr>
        <w:tab/>
      </w:r>
      <w:r w:rsidRPr="00590F02">
        <w:rPr>
          <w:sz w:val="22"/>
          <w:szCs w:val="22"/>
        </w:rPr>
        <w:tab/>
        <w:t xml:space="preserve">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w:t>
      </w:r>
      <w:r w:rsidRPr="00590F02">
        <w:rPr>
          <w:sz w:val="22"/>
          <w:szCs w:val="22"/>
        </w:rPr>
        <w:lastRenderedPageBreak/>
        <w:t xml:space="preserve">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w:t>
      </w:r>
    </w:p>
    <w:p w:rsidR="00C40371" w:rsidRPr="00590F02" w:rsidRDefault="00C40371" w:rsidP="00C40371">
      <w:pPr>
        <w:tabs>
          <w:tab w:val="left" w:pos="360"/>
        </w:tabs>
        <w:autoSpaceDE w:val="0"/>
        <w:autoSpaceDN w:val="0"/>
        <w:adjustRightInd w:val="0"/>
        <w:ind w:left="29"/>
        <w:jc w:val="both"/>
        <w:rPr>
          <w:sz w:val="22"/>
          <w:szCs w:val="22"/>
        </w:rPr>
      </w:pPr>
      <w:r w:rsidRPr="00590F02">
        <w:rPr>
          <w:sz w:val="22"/>
          <w:szCs w:val="22"/>
        </w:rPr>
        <w:tab/>
      </w:r>
      <w:r w:rsidRPr="00590F02">
        <w:rPr>
          <w:sz w:val="22"/>
          <w:szCs w:val="22"/>
        </w:rPr>
        <w:tab/>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C40371" w:rsidRPr="002A38E9" w:rsidRDefault="00C40371" w:rsidP="00C40371">
      <w:pPr>
        <w:autoSpaceDE w:val="0"/>
        <w:autoSpaceDN w:val="0"/>
        <w:adjustRightInd w:val="0"/>
        <w:ind w:firstLine="708"/>
        <w:jc w:val="both"/>
        <w:rPr>
          <w:color w:val="000000"/>
          <w:sz w:val="22"/>
          <w:szCs w:val="22"/>
        </w:rPr>
      </w:pPr>
      <w:r w:rsidRPr="002A38E9">
        <w:rPr>
          <w:color w:val="000000"/>
          <w:sz w:val="22"/>
          <w:szCs w:val="22"/>
        </w:rPr>
        <w:t xml:space="preserve">Згідно з переліком осіб, яким надсилається повідомлення про проведення річних загальних зборів акціонерів, складеним станом на </w:t>
      </w:r>
      <w:r w:rsidR="002A38E9" w:rsidRPr="002A38E9">
        <w:rPr>
          <w:color w:val="000000"/>
          <w:sz w:val="22"/>
          <w:szCs w:val="22"/>
          <w:lang w:val="ru-RU"/>
        </w:rPr>
        <w:t>20</w:t>
      </w:r>
      <w:r w:rsidRPr="002A38E9">
        <w:rPr>
          <w:color w:val="000000"/>
          <w:sz w:val="22"/>
          <w:szCs w:val="22"/>
        </w:rPr>
        <w:t>.</w:t>
      </w:r>
      <w:r w:rsidR="002A38E9" w:rsidRPr="002A38E9">
        <w:rPr>
          <w:color w:val="000000"/>
          <w:sz w:val="22"/>
          <w:szCs w:val="22"/>
          <w:lang w:val="ru-RU"/>
        </w:rPr>
        <w:t>12</w:t>
      </w:r>
      <w:r w:rsidRPr="002A38E9">
        <w:rPr>
          <w:color w:val="000000"/>
          <w:sz w:val="22"/>
          <w:szCs w:val="22"/>
        </w:rPr>
        <w:t>.202</w:t>
      </w:r>
      <w:r w:rsidR="009117A9">
        <w:rPr>
          <w:color w:val="000000"/>
          <w:sz w:val="22"/>
          <w:szCs w:val="22"/>
        </w:rPr>
        <w:t>2</w:t>
      </w:r>
      <w:bookmarkStart w:id="0" w:name="_GoBack"/>
      <w:bookmarkEnd w:id="0"/>
      <w:r w:rsidRPr="002A38E9">
        <w:rPr>
          <w:color w:val="000000"/>
          <w:sz w:val="22"/>
          <w:szCs w:val="22"/>
        </w:rPr>
        <w:t xml:space="preserve"> року, загальна кількість </w:t>
      </w:r>
      <w:r w:rsidRPr="002A38E9">
        <w:rPr>
          <w:sz w:val="22"/>
          <w:szCs w:val="22"/>
        </w:rPr>
        <w:t xml:space="preserve">простих іменних </w:t>
      </w:r>
      <w:r w:rsidRPr="002A38E9">
        <w:rPr>
          <w:color w:val="000000"/>
          <w:sz w:val="22"/>
          <w:szCs w:val="22"/>
        </w:rPr>
        <w:t>акцій Товариства становить 300</w:t>
      </w:r>
      <w:r w:rsidRPr="002A38E9">
        <w:rPr>
          <w:sz w:val="22"/>
          <w:szCs w:val="22"/>
        </w:rPr>
        <w:t xml:space="preserve"> штук, загальна </w:t>
      </w:r>
      <w:r w:rsidRPr="002A38E9">
        <w:rPr>
          <w:color w:val="000000"/>
          <w:sz w:val="22"/>
          <w:szCs w:val="22"/>
        </w:rPr>
        <w:t>кількість голосуючих акцій Товариства становить 300 штук</w:t>
      </w:r>
      <w:r w:rsidR="002A38E9" w:rsidRPr="002A38E9">
        <w:rPr>
          <w:color w:val="000000"/>
          <w:sz w:val="22"/>
          <w:szCs w:val="22"/>
          <w:lang w:val="ru-RU"/>
        </w:rPr>
        <w:t xml:space="preserve">, </w:t>
      </w:r>
      <w:proofErr w:type="spellStart"/>
      <w:r w:rsidR="002A38E9" w:rsidRPr="002A38E9">
        <w:rPr>
          <w:color w:val="000000"/>
          <w:sz w:val="22"/>
          <w:szCs w:val="22"/>
          <w:lang w:val="ru-RU"/>
        </w:rPr>
        <w:t>загальна</w:t>
      </w:r>
      <w:proofErr w:type="spellEnd"/>
      <w:r w:rsidR="002A38E9" w:rsidRPr="002A38E9">
        <w:rPr>
          <w:color w:val="000000"/>
          <w:sz w:val="22"/>
          <w:szCs w:val="22"/>
          <w:lang w:val="ru-RU"/>
        </w:rPr>
        <w:t xml:space="preserve"> к</w:t>
      </w:r>
      <w:proofErr w:type="spellStart"/>
      <w:r w:rsidR="002A38E9" w:rsidRPr="002A38E9">
        <w:rPr>
          <w:color w:val="000000"/>
          <w:sz w:val="22"/>
          <w:szCs w:val="22"/>
        </w:rPr>
        <w:t>ількість</w:t>
      </w:r>
      <w:proofErr w:type="spellEnd"/>
      <w:r w:rsidR="002A38E9" w:rsidRPr="002A38E9">
        <w:rPr>
          <w:color w:val="000000"/>
          <w:sz w:val="22"/>
          <w:szCs w:val="22"/>
        </w:rPr>
        <w:t xml:space="preserve"> акціонерів Товариства становить 5 осіб</w:t>
      </w:r>
      <w:r w:rsidRPr="002A38E9">
        <w:rPr>
          <w:color w:val="000000"/>
          <w:sz w:val="22"/>
          <w:szCs w:val="22"/>
        </w:rPr>
        <w:t>.</w:t>
      </w:r>
    </w:p>
    <w:p w:rsidR="00C40371" w:rsidRPr="00590F02" w:rsidRDefault="00C40371" w:rsidP="00C40371">
      <w:pPr>
        <w:rPr>
          <w:sz w:val="22"/>
          <w:szCs w:val="22"/>
        </w:rPr>
      </w:pPr>
      <w:r w:rsidRPr="002A38E9">
        <w:rPr>
          <w:spacing w:val="-1"/>
          <w:sz w:val="22"/>
          <w:szCs w:val="22"/>
        </w:rPr>
        <w:tab/>
        <w:t xml:space="preserve">Довідки за телефоном +380 44 </w:t>
      </w:r>
      <w:r w:rsidRPr="002A38E9">
        <w:rPr>
          <w:sz w:val="22"/>
          <w:szCs w:val="22"/>
        </w:rPr>
        <w:t>4894900.</w:t>
      </w:r>
    </w:p>
    <w:p w:rsidR="00C40371" w:rsidRPr="00590F02" w:rsidRDefault="00C40371" w:rsidP="00C40371">
      <w:pPr>
        <w:tabs>
          <w:tab w:val="left" w:pos="1485"/>
        </w:tabs>
        <w:rPr>
          <w:sz w:val="22"/>
          <w:szCs w:val="22"/>
        </w:rPr>
      </w:pPr>
      <w:r w:rsidRPr="00590F02">
        <w:rPr>
          <w:sz w:val="22"/>
          <w:szCs w:val="22"/>
        </w:rPr>
        <w:tab/>
      </w:r>
    </w:p>
    <w:p w:rsidR="00C40371" w:rsidRPr="00590F02" w:rsidRDefault="00C40371" w:rsidP="00C40371">
      <w:pPr>
        <w:ind w:firstLine="540"/>
        <w:rPr>
          <w:b/>
          <w:sz w:val="22"/>
          <w:szCs w:val="22"/>
        </w:rPr>
      </w:pPr>
    </w:p>
    <w:p w:rsidR="00C40371" w:rsidRPr="00590F02" w:rsidRDefault="00C40371" w:rsidP="00C40371">
      <w:pPr>
        <w:ind w:firstLine="540"/>
        <w:rPr>
          <w:b/>
          <w:sz w:val="22"/>
          <w:szCs w:val="22"/>
        </w:rPr>
      </w:pPr>
    </w:p>
    <w:p w:rsidR="00C40371" w:rsidRPr="00590F02" w:rsidRDefault="00C40371" w:rsidP="00C40371">
      <w:pPr>
        <w:ind w:firstLine="540"/>
      </w:pPr>
      <w:r w:rsidRPr="00590F02">
        <w:rPr>
          <w:b/>
          <w:sz w:val="22"/>
          <w:szCs w:val="22"/>
        </w:rPr>
        <w:t xml:space="preserve">Генеральний директор                                                    </w:t>
      </w:r>
      <w:proofErr w:type="spellStart"/>
      <w:r w:rsidRPr="00590F02">
        <w:rPr>
          <w:b/>
          <w:sz w:val="22"/>
          <w:szCs w:val="22"/>
        </w:rPr>
        <w:t>Берковський</w:t>
      </w:r>
      <w:proofErr w:type="spellEnd"/>
      <w:r w:rsidRPr="00590F02">
        <w:rPr>
          <w:b/>
          <w:sz w:val="22"/>
          <w:szCs w:val="22"/>
        </w:rPr>
        <w:t xml:space="preserve"> В. Б.</w:t>
      </w:r>
    </w:p>
    <w:p w:rsidR="00C40371" w:rsidRPr="00590F02" w:rsidRDefault="00C40371" w:rsidP="00C40371">
      <w:pPr>
        <w:tabs>
          <w:tab w:val="left" w:pos="1485"/>
        </w:tabs>
        <w:rPr>
          <w:sz w:val="22"/>
          <w:szCs w:val="22"/>
        </w:rPr>
      </w:pPr>
    </w:p>
    <w:p w:rsidR="00C40371" w:rsidRPr="00590F02" w:rsidRDefault="00C40371" w:rsidP="00C40371">
      <w:pPr>
        <w:tabs>
          <w:tab w:val="left" w:pos="1485"/>
        </w:tabs>
        <w:rPr>
          <w:sz w:val="22"/>
          <w:szCs w:val="22"/>
        </w:rPr>
      </w:pPr>
      <w:r w:rsidRPr="00590F02">
        <w:rPr>
          <w:sz w:val="22"/>
          <w:szCs w:val="22"/>
        </w:rPr>
        <w:tab/>
      </w:r>
    </w:p>
    <w:p w:rsidR="00C40371" w:rsidRPr="00590F02" w:rsidRDefault="00C40371" w:rsidP="00C40371">
      <w:pPr>
        <w:tabs>
          <w:tab w:val="left" w:pos="1485"/>
        </w:tabs>
        <w:rPr>
          <w:sz w:val="22"/>
          <w:szCs w:val="22"/>
        </w:rPr>
      </w:pPr>
    </w:p>
    <w:p w:rsidR="00FE4736" w:rsidRDefault="00FE4736" w:rsidP="001D756B">
      <w:pPr>
        <w:jc w:val="right"/>
        <w:rPr>
          <w:i/>
        </w:rPr>
      </w:pPr>
    </w:p>
    <w:p w:rsidR="00FE4736" w:rsidRDefault="00FE4736" w:rsidP="001D756B">
      <w:pPr>
        <w:jc w:val="right"/>
        <w:rPr>
          <w:i/>
        </w:rPr>
      </w:pPr>
    </w:p>
    <w:p w:rsidR="00FE4736" w:rsidRDefault="00FE4736" w:rsidP="001D756B">
      <w:pPr>
        <w:jc w:val="right"/>
        <w:rPr>
          <w:i/>
        </w:rPr>
      </w:pPr>
    </w:p>
    <w:sectPr w:rsidR="00FE4736" w:rsidSect="00F868FE">
      <w:footerReference w:type="default" r:id="rId12"/>
      <w:pgSz w:w="11906" w:h="16838"/>
      <w:pgMar w:top="851" w:right="567" w:bottom="851" w:left="1418" w:header="708" w:footer="708"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D2" w:rsidRDefault="00EB41D2">
      <w:r>
        <w:separator/>
      </w:r>
    </w:p>
  </w:endnote>
  <w:endnote w:type="continuationSeparator" w:id="0">
    <w:p w:rsidR="00EB41D2" w:rsidRDefault="00EB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Xenia Cameo">
    <w:altName w:val="Microsoft YaHe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EA5" w:rsidRDefault="004D1EA5">
    <w:pPr>
      <w:pStyle w:val="a7"/>
      <w:jc w:val="center"/>
    </w:pPr>
  </w:p>
  <w:p w:rsidR="00A02CEF" w:rsidRDefault="00A02CE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D2" w:rsidRDefault="00EB41D2">
      <w:r>
        <w:separator/>
      </w:r>
    </w:p>
  </w:footnote>
  <w:footnote w:type="continuationSeparator" w:id="0">
    <w:p w:rsidR="00EB41D2" w:rsidRDefault="00EB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2B33"/>
    <w:multiLevelType w:val="hybridMultilevel"/>
    <w:tmpl w:val="A9F6D1F2"/>
    <w:lvl w:ilvl="0" w:tplc="C512E47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nsid w:val="20E4051F"/>
    <w:multiLevelType w:val="hybridMultilevel"/>
    <w:tmpl w:val="C10C5C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7A7B62"/>
    <w:multiLevelType w:val="hybridMultilevel"/>
    <w:tmpl w:val="A9F6D1F2"/>
    <w:lvl w:ilvl="0" w:tplc="C512E47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
    <w:nsid w:val="26BC4155"/>
    <w:multiLevelType w:val="hybridMultilevel"/>
    <w:tmpl w:val="A9F6D1F2"/>
    <w:lvl w:ilvl="0" w:tplc="C512E47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4">
    <w:nsid w:val="29124596"/>
    <w:multiLevelType w:val="hybridMultilevel"/>
    <w:tmpl w:val="FE7C79D2"/>
    <w:lvl w:ilvl="0" w:tplc="8DB85E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C0861E1"/>
    <w:multiLevelType w:val="hybridMultilevel"/>
    <w:tmpl w:val="AE6CE43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54FF04C7"/>
    <w:multiLevelType w:val="hybridMultilevel"/>
    <w:tmpl w:val="FE7C79D2"/>
    <w:lvl w:ilvl="0" w:tplc="8DB85E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63115F2F"/>
    <w:multiLevelType w:val="hybridMultilevel"/>
    <w:tmpl w:val="A9F6D1F2"/>
    <w:lvl w:ilvl="0" w:tplc="C512E47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8">
    <w:nsid w:val="6C775AE7"/>
    <w:multiLevelType w:val="hybridMultilevel"/>
    <w:tmpl w:val="18B64F9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63B7882"/>
    <w:multiLevelType w:val="hybridMultilevel"/>
    <w:tmpl w:val="9B1C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A22197"/>
    <w:multiLevelType w:val="singleLevel"/>
    <w:tmpl w:val="9A9CE6BC"/>
    <w:lvl w:ilvl="0">
      <w:start w:val="1"/>
      <w:numFmt w:val="decimal"/>
      <w:lvlText w:val="%1."/>
      <w:legacy w:legacy="1" w:legacySpace="0" w:legacyIndent="245"/>
      <w:lvlJc w:val="left"/>
      <w:rPr>
        <w:rFonts w:ascii="Times New Roman" w:hAnsi="Times New Roman" w:cs="Times New Roman" w:hint="default"/>
        <w:b w:val="0"/>
      </w:rPr>
    </w:lvl>
  </w:abstractNum>
  <w:abstractNum w:abstractNumId="11">
    <w:nsid w:val="7F744B61"/>
    <w:multiLevelType w:val="multilevel"/>
    <w:tmpl w:val="DC7874D2"/>
    <w:lvl w:ilvl="0">
      <w:start w:val="1"/>
      <w:numFmt w:val="decimal"/>
      <w:lvlText w:val="%1."/>
      <w:lvlJc w:val="left"/>
      <w:pPr>
        <w:tabs>
          <w:tab w:val="num" w:pos="851"/>
        </w:tabs>
        <w:ind w:left="851" w:hanging="851"/>
      </w:pPr>
      <w:rPr>
        <w:rFonts w:ascii="Times New Roman" w:hAnsi="Times New Roman" w:cs="Times New Roman" w:hint="default"/>
        <w:b w:val="0"/>
        <w:i w:val="0"/>
        <w:sz w:val="26"/>
      </w:rPr>
    </w:lvl>
    <w:lvl w:ilvl="1">
      <w:start w:val="1"/>
      <w:numFmt w:val="decimal"/>
      <w:lvlText w:val="%1.%2"/>
      <w:lvlJc w:val="left"/>
      <w:pPr>
        <w:tabs>
          <w:tab w:val="num" w:pos="851"/>
        </w:tabs>
        <w:ind w:left="851" w:hanging="851"/>
      </w:pPr>
      <w:rPr>
        <w:rFonts w:cs="Times New Roman"/>
        <w:sz w:val="26"/>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pStyle w:val="6"/>
      <w:lvlText w:val="%1.%2.%3.%4.%5.%6"/>
      <w:lvlJc w:val="left"/>
      <w:pPr>
        <w:tabs>
          <w:tab w:val="num" w:pos="1440"/>
        </w:tabs>
      </w:pPr>
      <w:rPr>
        <w:rFonts w:cs="Times New Roman"/>
      </w:rPr>
    </w:lvl>
    <w:lvl w:ilvl="6">
      <w:start w:val="1"/>
      <w:numFmt w:val="decimal"/>
      <w:pStyle w:val="7"/>
      <w:lvlText w:val="%1.%2.%3.%4.%5.%6.%7"/>
      <w:lvlJc w:val="left"/>
      <w:pPr>
        <w:tabs>
          <w:tab w:val="num" w:pos="1440"/>
        </w:tabs>
      </w:pPr>
      <w:rPr>
        <w:rFonts w:cs="Times New Roman"/>
      </w:rPr>
    </w:lvl>
    <w:lvl w:ilvl="7">
      <w:start w:val="1"/>
      <w:numFmt w:val="decimal"/>
      <w:pStyle w:val="8"/>
      <w:lvlText w:val="%1.%2.%3.%4.%5.%6.%7.%8"/>
      <w:lvlJc w:val="left"/>
      <w:pPr>
        <w:tabs>
          <w:tab w:val="num" w:pos="0"/>
        </w:tabs>
      </w:pPr>
      <w:rPr>
        <w:rFonts w:cs="Times New Roman"/>
      </w:rPr>
    </w:lvl>
    <w:lvl w:ilvl="8">
      <w:start w:val="1"/>
      <w:numFmt w:val="decimal"/>
      <w:pStyle w:val="9"/>
      <w:lvlText w:val="%1.%2.%3.%4.%5.%6.%7.%8.%9"/>
      <w:lvlJc w:val="left"/>
      <w:pPr>
        <w:tabs>
          <w:tab w:val="num" w:pos="0"/>
        </w:tabs>
      </w:pPr>
      <w:rPr>
        <w:rFonts w:cs="Times New Roman"/>
      </w:rPr>
    </w:lvl>
  </w:abstractNum>
  <w:num w:numId="1">
    <w:abstractNumId w:val="5"/>
  </w:num>
  <w:num w:numId="2">
    <w:abstractNumId w:val="6"/>
  </w:num>
  <w:num w:numId="3">
    <w:abstractNumId w:val="11"/>
  </w:num>
  <w:num w:numId="4">
    <w:abstractNumId w:val="10"/>
  </w:num>
  <w:num w:numId="5">
    <w:abstractNumId w:val="2"/>
  </w:num>
  <w:num w:numId="6">
    <w:abstractNumId w:val="1"/>
  </w:num>
  <w:num w:numId="7">
    <w:abstractNumId w:val="8"/>
  </w:num>
  <w:num w:numId="8">
    <w:abstractNumId w:val="0"/>
  </w:num>
  <w:num w:numId="9">
    <w:abstractNumId w:val="3"/>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BF"/>
    <w:rsid w:val="00004782"/>
    <w:rsid w:val="00021662"/>
    <w:rsid w:val="000245F4"/>
    <w:rsid w:val="00081BA2"/>
    <w:rsid w:val="000B61CF"/>
    <w:rsid w:val="000C05B5"/>
    <w:rsid w:val="000C0723"/>
    <w:rsid w:val="000C1BF5"/>
    <w:rsid w:val="001114D1"/>
    <w:rsid w:val="00151BBF"/>
    <w:rsid w:val="0017769A"/>
    <w:rsid w:val="001A3880"/>
    <w:rsid w:val="001C5372"/>
    <w:rsid w:val="001D0780"/>
    <w:rsid w:val="001D756B"/>
    <w:rsid w:val="002033D2"/>
    <w:rsid w:val="00234D21"/>
    <w:rsid w:val="00236216"/>
    <w:rsid w:val="00247617"/>
    <w:rsid w:val="00251389"/>
    <w:rsid w:val="002513D5"/>
    <w:rsid w:val="002A38E9"/>
    <w:rsid w:val="002A4E64"/>
    <w:rsid w:val="002C0E3C"/>
    <w:rsid w:val="003275E4"/>
    <w:rsid w:val="00337213"/>
    <w:rsid w:val="00344087"/>
    <w:rsid w:val="00362928"/>
    <w:rsid w:val="00373362"/>
    <w:rsid w:val="0039643A"/>
    <w:rsid w:val="003B2FFA"/>
    <w:rsid w:val="003D419E"/>
    <w:rsid w:val="003E102B"/>
    <w:rsid w:val="003E116D"/>
    <w:rsid w:val="003E2283"/>
    <w:rsid w:val="004042B3"/>
    <w:rsid w:val="00425019"/>
    <w:rsid w:val="0044380F"/>
    <w:rsid w:val="00447777"/>
    <w:rsid w:val="00455F52"/>
    <w:rsid w:val="004D1EA5"/>
    <w:rsid w:val="004E0635"/>
    <w:rsid w:val="00550504"/>
    <w:rsid w:val="0056028D"/>
    <w:rsid w:val="005832FD"/>
    <w:rsid w:val="005C2AC4"/>
    <w:rsid w:val="005C2C32"/>
    <w:rsid w:val="005E57A7"/>
    <w:rsid w:val="006005F4"/>
    <w:rsid w:val="0062313E"/>
    <w:rsid w:val="00635430"/>
    <w:rsid w:val="00672B93"/>
    <w:rsid w:val="00694F60"/>
    <w:rsid w:val="006A0920"/>
    <w:rsid w:val="006D7E08"/>
    <w:rsid w:val="006F633B"/>
    <w:rsid w:val="007305B6"/>
    <w:rsid w:val="00743C12"/>
    <w:rsid w:val="00761414"/>
    <w:rsid w:val="00765105"/>
    <w:rsid w:val="00773306"/>
    <w:rsid w:val="00791924"/>
    <w:rsid w:val="007B1C82"/>
    <w:rsid w:val="007D79B3"/>
    <w:rsid w:val="00803A1F"/>
    <w:rsid w:val="008227DD"/>
    <w:rsid w:val="00823FEC"/>
    <w:rsid w:val="008767FD"/>
    <w:rsid w:val="008925C8"/>
    <w:rsid w:val="00892F51"/>
    <w:rsid w:val="008A5475"/>
    <w:rsid w:val="008B176F"/>
    <w:rsid w:val="008B259A"/>
    <w:rsid w:val="008F3EAB"/>
    <w:rsid w:val="008F5D0A"/>
    <w:rsid w:val="009117A9"/>
    <w:rsid w:val="009423CA"/>
    <w:rsid w:val="009820BA"/>
    <w:rsid w:val="00997084"/>
    <w:rsid w:val="009C40C5"/>
    <w:rsid w:val="009F4271"/>
    <w:rsid w:val="00A02CEF"/>
    <w:rsid w:val="00A046F9"/>
    <w:rsid w:val="00A33ECB"/>
    <w:rsid w:val="00A56981"/>
    <w:rsid w:val="00A57435"/>
    <w:rsid w:val="00A71E01"/>
    <w:rsid w:val="00A71F44"/>
    <w:rsid w:val="00A774C5"/>
    <w:rsid w:val="00A81282"/>
    <w:rsid w:val="00A91BE5"/>
    <w:rsid w:val="00A950BD"/>
    <w:rsid w:val="00AE3D51"/>
    <w:rsid w:val="00AF1546"/>
    <w:rsid w:val="00AF7E7F"/>
    <w:rsid w:val="00B12C18"/>
    <w:rsid w:val="00B13D31"/>
    <w:rsid w:val="00B56B56"/>
    <w:rsid w:val="00B60EBC"/>
    <w:rsid w:val="00B6535D"/>
    <w:rsid w:val="00BA4425"/>
    <w:rsid w:val="00BC6FA7"/>
    <w:rsid w:val="00BD1968"/>
    <w:rsid w:val="00C01252"/>
    <w:rsid w:val="00C40371"/>
    <w:rsid w:val="00C456EC"/>
    <w:rsid w:val="00C46101"/>
    <w:rsid w:val="00C71F53"/>
    <w:rsid w:val="00C857FB"/>
    <w:rsid w:val="00CA637E"/>
    <w:rsid w:val="00D40119"/>
    <w:rsid w:val="00D62F69"/>
    <w:rsid w:val="00D90849"/>
    <w:rsid w:val="00D91D87"/>
    <w:rsid w:val="00D96B11"/>
    <w:rsid w:val="00DA4A97"/>
    <w:rsid w:val="00DC6B79"/>
    <w:rsid w:val="00DE786C"/>
    <w:rsid w:val="00E076B8"/>
    <w:rsid w:val="00E10BC1"/>
    <w:rsid w:val="00E14B87"/>
    <w:rsid w:val="00E552C0"/>
    <w:rsid w:val="00E66028"/>
    <w:rsid w:val="00E737C8"/>
    <w:rsid w:val="00E73978"/>
    <w:rsid w:val="00EB41D2"/>
    <w:rsid w:val="00EB5106"/>
    <w:rsid w:val="00ED6A31"/>
    <w:rsid w:val="00EE27ED"/>
    <w:rsid w:val="00F0340E"/>
    <w:rsid w:val="00F14CB3"/>
    <w:rsid w:val="00F868FE"/>
    <w:rsid w:val="00F9161C"/>
    <w:rsid w:val="00FC5659"/>
    <w:rsid w:val="00FE4736"/>
    <w:rsid w:val="00FE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BF"/>
    <w:pPr>
      <w:spacing w:after="0" w:line="240" w:lineRule="auto"/>
    </w:pPr>
    <w:rPr>
      <w:rFonts w:ascii="Times New Roman" w:eastAsia="Times New Roman" w:hAnsi="Times New Roman" w:cs="Times New Roman"/>
      <w:sz w:val="24"/>
      <w:szCs w:val="24"/>
      <w:lang w:val="uk-UA" w:eastAsia="ru-RU"/>
    </w:rPr>
  </w:style>
  <w:style w:type="paragraph" w:styleId="6">
    <w:name w:val="heading 6"/>
    <w:aliases w:val="gh"/>
    <w:basedOn w:val="a"/>
    <w:next w:val="a"/>
    <w:link w:val="60"/>
    <w:qFormat/>
    <w:rsid w:val="001D756B"/>
    <w:pPr>
      <w:numPr>
        <w:ilvl w:val="5"/>
        <w:numId w:val="3"/>
      </w:numPr>
      <w:tabs>
        <w:tab w:val="left" w:pos="567"/>
      </w:tabs>
      <w:spacing w:before="240" w:after="60"/>
      <w:jc w:val="both"/>
      <w:outlineLvl w:val="5"/>
    </w:pPr>
    <w:rPr>
      <w:i/>
      <w:sz w:val="22"/>
      <w:szCs w:val="20"/>
      <w:lang w:val="ru-RU"/>
    </w:rPr>
  </w:style>
  <w:style w:type="paragraph" w:styleId="7">
    <w:name w:val="heading 7"/>
    <w:aliases w:val="ghj"/>
    <w:basedOn w:val="a"/>
    <w:next w:val="a"/>
    <w:link w:val="70"/>
    <w:qFormat/>
    <w:rsid w:val="001D756B"/>
    <w:pPr>
      <w:numPr>
        <w:ilvl w:val="6"/>
        <w:numId w:val="3"/>
      </w:numPr>
      <w:tabs>
        <w:tab w:val="left" w:pos="567"/>
      </w:tabs>
      <w:spacing w:before="240" w:after="60"/>
      <w:jc w:val="both"/>
      <w:outlineLvl w:val="6"/>
    </w:pPr>
    <w:rPr>
      <w:rFonts w:ascii="Arial" w:hAnsi="Arial"/>
      <w:sz w:val="20"/>
      <w:szCs w:val="20"/>
      <w:lang w:val="ru-RU"/>
    </w:rPr>
  </w:style>
  <w:style w:type="paragraph" w:styleId="8">
    <w:name w:val="heading 8"/>
    <w:aliases w:val="ghjk"/>
    <w:basedOn w:val="a"/>
    <w:next w:val="a"/>
    <w:link w:val="80"/>
    <w:qFormat/>
    <w:rsid w:val="001D756B"/>
    <w:pPr>
      <w:numPr>
        <w:ilvl w:val="7"/>
        <w:numId w:val="3"/>
      </w:numPr>
      <w:tabs>
        <w:tab w:val="left" w:pos="567"/>
      </w:tabs>
      <w:spacing w:before="240" w:after="60"/>
      <w:jc w:val="both"/>
      <w:outlineLvl w:val="7"/>
    </w:pPr>
    <w:rPr>
      <w:rFonts w:ascii="Arial" w:hAnsi="Arial"/>
      <w:i/>
      <w:sz w:val="20"/>
      <w:szCs w:val="20"/>
      <w:lang w:val="ru-RU"/>
    </w:rPr>
  </w:style>
  <w:style w:type="paragraph" w:styleId="9">
    <w:name w:val="heading 9"/>
    <w:aliases w:val="ghjkl"/>
    <w:basedOn w:val="a"/>
    <w:next w:val="a"/>
    <w:link w:val="90"/>
    <w:qFormat/>
    <w:rsid w:val="001D756B"/>
    <w:pPr>
      <w:numPr>
        <w:ilvl w:val="8"/>
        <w:numId w:val="3"/>
      </w:numPr>
      <w:tabs>
        <w:tab w:val="left" w:pos="567"/>
      </w:tabs>
      <w:spacing w:before="240" w:after="60"/>
      <w:jc w:val="both"/>
      <w:outlineLvl w:val="8"/>
    </w:pPr>
    <w:rPr>
      <w:rFonts w:ascii="Arial" w:hAnsi="Arial"/>
      <w:b/>
      <w:i/>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Form">
    <w:name w:val="TabForm"/>
    <w:basedOn w:val="a"/>
    <w:rsid w:val="00151BBF"/>
    <w:pPr>
      <w:spacing w:after="60"/>
    </w:pPr>
    <w:rPr>
      <w:rFonts w:ascii="TextBook" w:hAnsi="TextBook"/>
      <w:szCs w:val="20"/>
      <w:lang w:val="en-US"/>
    </w:rPr>
  </w:style>
  <w:style w:type="character" w:styleId="a3">
    <w:name w:val="Hyperlink"/>
    <w:rsid w:val="00151BBF"/>
    <w:rPr>
      <w:color w:val="0000FF"/>
      <w:u w:val="single"/>
    </w:rPr>
  </w:style>
  <w:style w:type="paragraph" w:styleId="a4">
    <w:name w:val="Balloon Text"/>
    <w:basedOn w:val="a"/>
    <w:link w:val="a5"/>
    <w:uiPriority w:val="99"/>
    <w:semiHidden/>
    <w:unhideWhenUsed/>
    <w:rsid w:val="00151BBF"/>
    <w:rPr>
      <w:rFonts w:ascii="Tahoma" w:hAnsi="Tahoma" w:cs="Tahoma"/>
      <w:sz w:val="16"/>
      <w:szCs w:val="16"/>
    </w:rPr>
  </w:style>
  <w:style w:type="character" w:customStyle="1" w:styleId="a5">
    <w:name w:val="Текст выноски Знак"/>
    <w:basedOn w:val="a0"/>
    <w:link w:val="a4"/>
    <w:uiPriority w:val="99"/>
    <w:semiHidden/>
    <w:rsid w:val="00151BBF"/>
    <w:rPr>
      <w:rFonts w:ascii="Tahoma" w:eastAsia="Times New Roman" w:hAnsi="Tahoma" w:cs="Tahoma"/>
      <w:sz w:val="16"/>
      <w:szCs w:val="16"/>
      <w:lang w:val="uk-UA" w:eastAsia="ru-RU"/>
    </w:rPr>
  </w:style>
  <w:style w:type="character" w:customStyle="1" w:styleId="60">
    <w:name w:val="Заголовок 6 Знак"/>
    <w:aliases w:val="gh Знак"/>
    <w:basedOn w:val="a0"/>
    <w:link w:val="6"/>
    <w:rsid w:val="001D756B"/>
    <w:rPr>
      <w:rFonts w:ascii="Times New Roman" w:eastAsia="Times New Roman" w:hAnsi="Times New Roman" w:cs="Times New Roman"/>
      <w:i/>
      <w:szCs w:val="20"/>
      <w:lang w:eastAsia="ru-RU"/>
    </w:rPr>
  </w:style>
  <w:style w:type="character" w:customStyle="1" w:styleId="70">
    <w:name w:val="Заголовок 7 Знак"/>
    <w:aliases w:val="ghj Знак"/>
    <w:basedOn w:val="a0"/>
    <w:link w:val="7"/>
    <w:rsid w:val="001D756B"/>
    <w:rPr>
      <w:rFonts w:ascii="Arial" w:eastAsia="Times New Roman" w:hAnsi="Arial" w:cs="Times New Roman"/>
      <w:sz w:val="20"/>
      <w:szCs w:val="20"/>
      <w:lang w:eastAsia="ru-RU"/>
    </w:rPr>
  </w:style>
  <w:style w:type="character" w:customStyle="1" w:styleId="80">
    <w:name w:val="Заголовок 8 Знак"/>
    <w:aliases w:val="ghjk Знак"/>
    <w:basedOn w:val="a0"/>
    <w:link w:val="8"/>
    <w:rsid w:val="001D756B"/>
    <w:rPr>
      <w:rFonts w:ascii="Arial" w:eastAsia="Times New Roman" w:hAnsi="Arial" w:cs="Times New Roman"/>
      <w:i/>
      <w:sz w:val="20"/>
      <w:szCs w:val="20"/>
      <w:lang w:eastAsia="ru-RU"/>
    </w:rPr>
  </w:style>
  <w:style w:type="character" w:customStyle="1" w:styleId="90">
    <w:name w:val="Заголовок 9 Знак"/>
    <w:aliases w:val="ghjkl Знак"/>
    <w:basedOn w:val="a0"/>
    <w:link w:val="9"/>
    <w:rsid w:val="001D756B"/>
    <w:rPr>
      <w:rFonts w:ascii="Arial" w:eastAsia="Times New Roman" w:hAnsi="Arial" w:cs="Times New Roman"/>
      <w:b/>
      <w:i/>
      <w:sz w:val="18"/>
      <w:szCs w:val="20"/>
      <w:lang w:eastAsia="ru-RU"/>
    </w:rPr>
  </w:style>
  <w:style w:type="paragraph" w:styleId="a6">
    <w:name w:val="Normal (Web)"/>
    <w:basedOn w:val="a"/>
    <w:uiPriority w:val="99"/>
    <w:rsid w:val="001D756B"/>
    <w:pPr>
      <w:spacing w:before="100" w:beforeAutospacing="1" w:after="100" w:afterAutospacing="1"/>
    </w:pPr>
    <w:rPr>
      <w:lang w:val="ru-RU"/>
    </w:rPr>
  </w:style>
  <w:style w:type="paragraph" w:styleId="2">
    <w:name w:val="Body Text 2"/>
    <w:basedOn w:val="a"/>
    <w:link w:val="20"/>
    <w:rsid w:val="001D756B"/>
    <w:pPr>
      <w:spacing w:after="120" w:line="480" w:lineRule="auto"/>
    </w:pPr>
  </w:style>
  <w:style w:type="character" w:customStyle="1" w:styleId="20">
    <w:name w:val="Основной текст 2 Знак"/>
    <w:basedOn w:val="a0"/>
    <w:link w:val="2"/>
    <w:rsid w:val="001D756B"/>
    <w:rPr>
      <w:rFonts w:ascii="Times New Roman" w:eastAsia="Times New Roman" w:hAnsi="Times New Roman" w:cs="Times New Roman"/>
      <w:sz w:val="24"/>
      <w:szCs w:val="24"/>
      <w:lang w:val="uk-UA" w:eastAsia="ru-RU"/>
    </w:rPr>
  </w:style>
  <w:style w:type="character" w:customStyle="1" w:styleId="text">
    <w:name w:val="text"/>
    <w:rsid w:val="001D756B"/>
  </w:style>
  <w:style w:type="paragraph" w:styleId="a7">
    <w:name w:val="footer"/>
    <w:basedOn w:val="a"/>
    <w:link w:val="a8"/>
    <w:uiPriority w:val="99"/>
    <w:rsid w:val="001D756B"/>
    <w:pPr>
      <w:tabs>
        <w:tab w:val="center" w:pos="4680"/>
        <w:tab w:val="right" w:pos="9360"/>
      </w:tabs>
    </w:pPr>
  </w:style>
  <w:style w:type="character" w:customStyle="1" w:styleId="a8">
    <w:name w:val="Нижний колонтитул Знак"/>
    <w:basedOn w:val="a0"/>
    <w:link w:val="a7"/>
    <w:uiPriority w:val="99"/>
    <w:rsid w:val="001D756B"/>
    <w:rPr>
      <w:rFonts w:ascii="Times New Roman" w:eastAsia="Times New Roman" w:hAnsi="Times New Roman" w:cs="Times New Roman"/>
      <w:sz w:val="24"/>
      <w:szCs w:val="24"/>
      <w:lang w:val="uk-UA" w:eastAsia="ru-RU"/>
    </w:rPr>
  </w:style>
  <w:style w:type="character" w:styleId="a9">
    <w:name w:val="page number"/>
    <w:rsid w:val="001D756B"/>
  </w:style>
  <w:style w:type="paragraph" w:styleId="aa">
    <w:name w:val="List Paragraph"/>
    <w:basedOn w:val="a"/>
    <w:uiPriority w:val="34"/>
    <w:qFormat/>
    <w:rsid w:val="006A0920"/>
    <w:pPr>
      <w:ind w:left="720"/>
      <w:contextualSpacing/>
    </w:pPr>
  </w:style>
  <w:style w:type="character" w:customStyle="1" w:styleId="rvts0">
    <w:name w:val="rvts0"/>
    <w:basedOn w:val="a0"/>
    <w:rsid w:val="00081BA2"/>
  </w:style>
  <w:style w:type="paragraph" w:styleId="ab">
    <w:name w:val="header"/>
    <w:basedOn w:val="a"/>
    <w:link w:val="ac"/>
    <w:uiPriority w:val="99"/>
    <w:unhideWhenUsed/>
    <w:rsid w:val="0062313E"/>
    <w:pPr>
      <w:tabs>
        <w:tab w:val="center" w:pos="4677"/>
        <w:tab w:val="right" w:pos="9355"/>
      </w:tabs>
    </w:pPr>
  </w:style>
  <w:style w:type="character" w:customStyle="1" w:styleId="ac">
    <w:name w:val="Верхний колонтитул Знак"/>
    <w:basedOn w:val="a0"/>
    <w:link w:val="ab"/>
    <w:uiPriority w:val="99"/>
    <w:rsid w:val="0062313E"/>
    <w:rPr>
      <w:rFonts w:ascii="Times New Roman" w:eastAsia="Times New Roman" w:hAnsi="Times New Roman" w:cs="Times New Roman"/>
      <w:sz w:val="24"/>
      <w:szCs w:val="24"/>
      <w:lang w:val="uk-UA" w:eastAsia="ru-RU"/>
    </w:rPr>
  </w:style>
  <w:style w:type="character" w:customStyle="1" w:styleId="rvts23">
    <w:name w:val="rvts23"/>
    <w:basedOn w:val="a0"/>
    <w:rsid w:val="001D0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BF"/>
    <w:pPr>
      <w:spacing w:after="0" w:line="240" w:lineRule="auto"/>
    </w:pPr>
    <w:rPr>
      <w:rFonts w:ascii="Times New Roman" w:eastAsia="Times New Roman" w:hAnsi="Times New Roman" w:cs="Times New Roman"/>
      <w:sz w:val="24"/>
      <w:szCs w:val="24"/>
      <w:lang w:val="uk-UA" w:eastAsia="ru-RU"/>
    </w:rPr>
  </w:style>
  <w:style w:type="paragraph" w:styleId="6">
    <w:name w:val="heading 6"/>
    <w:aliases w:val="gh"/>
    <w:basedOn w:val="a"/>
    <w:next w:val="a"/>
    <w:link w:val="60"/>
    <w:qFormat/>
    <w:rsid w:val="001D756B"/>
    <w:pPr>
      <w:numPr>
        <w:ilvl w:val="5"/>
        <w:numId w:val="3"/>
      </w:numPr>
      <w:tabs>
        <w:tab w:val="left" w:pos="567"/>
      </w:tabs>
      <w:spacing w:before="240" w:after="60"/>
      <w:jc w:val="both"/>
      <w:outlineLvl w:val="5"/>
    </w:pPr>
    <w:rPr>
      <w:i/>
      <w:sz w:val="22"/>
      <w:szCs w:val="20"/>
      <w:lang w:val="ru-RU"/>
    </w:rPr>
  </w:style>
  <w:style w:type="paragraph" w:styleId="7">
    <w:name w:val="heading 7"/>
    <w:aliases w:val="ghj"/>
    <w:basedOn w:val="a"/>
    <w:next w:val="a"/>
    <w:link w:val="70"/>
    <w:qFormat/>
    <w:rsid w:val="001D756B"/>
    <w:pPr>
      <w:numPr>
        <w:ilvl w:val="6"/>
        <w:numId w:val="3"/>
      </w:numPr>
      <w:tabs>
        <w:tab w:val="left" w:pos="567"/>
      </w:tabs>
      <w:spacing w:before="240" w:after="60"/>
      <w:jc w:val="both"/>
      <w:outlineLvl w:val="6"/>
    </w:pPr>
    <w:rPr>
      <w:rFonts w:ascii="Arial" w:hAnsi="Arial"/>
      <w:sz w:val="20"/>
      <w:szCs w:val="20"/>
      <w:lang w:val="ru-RU"/>
    </w:rPr>
  </w:style>
  <w:style w:type="paragraph" w:styleId="8">
    <w:name w:val="heading 8"/>
    <w:aliases w:val="ghjk"/>
    <w:basedOn w:val="a"/>
    <w:next w:val="a"/>
    <w:link w:val="80"/>
    <w:qFormat/>
    <w:rsid w:val="001D756B"/>
    <w:pPr>
      <w:numPr>
        <w:ilvl w:val="7"/>
        <w:numId w:val="3"/>
      </w:numPr>
      <w:tabs>
        <w:tab w:val="left" w:pos="567"/>
      </w:tabs>
      <w:spacing w:before="240" w:after="60"/>
      <w:jc w:val="both"/>
      <w:outlineLvl w:val="7"/>
    </w:pPr>
    <w:rPr>
      <w:rFonts w:ascii="Arial" w:hAnsi="Arial"/>
      <w:i/>
      <w:sz w:val="20"/>
      <w:szCs w:val="20"/>
      <w:lang w:val="ru-RU"/>
    </w:rPr>
  </w:style>
  <w:style w:type="paragraph" w:styleId="9">
    <w:name w:val="heading 9"/>
    <w:aliases w:val="ghjkl"/>
    <w:basedOn w:val="a"/>
    <w:next w:val="a"/>
    <w:link w:val="90"/>
    <w:qFormat/>
    <w:rsid w:val="001D756B"/>
    <w:pPr>
      <w:numPr>
        <w:ilvl w:val="8"/>
        <w:numId w:val="3"/>
      </w:numPr>
      <w:tabs>
        <w:tab w:val="left" w:pos="567"/>
      </w:tabs>
      <w:spacing w:before="240" w:after="60"/>
      <w:jc w:val="both"/>
      <w:outlineLvl w:val="8"/>
    </w:pPr>
    <w:rPr>
      <w:rFonts w:ascii="Arial" w:hAnsi="Arial"/>
      <w:b/>
      <w:i/>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Form">
    <w:name w:val="TabForm"/>
    <w:basedOn w:val="a"/>
    <w:rsid w:val="00151BBF"/>
    <w:pPr>
      <w:spacing w:after="60"/>
    </w:pPr>
    <w:rPr>
      <w:rFonts w:ascii="TextBook" w:hAnsi="TextBook"/>
      <w:szCs w:val="20"/>
      <w:lang w:val="en-US"/>
    </w:rPr>
  </w:style>
  <w:style w:type="character" w:styleId="a3">
    <w:name w:val="Hyperlink"/>
    <w:rsid w:val="00151BBF"/>
    <w:rPr>
      <w:color w:val="0000FF"/>
      <w:u w:val="single"/>
    </w:rPr>
  </w:style>
  <w:style w:type="paragraph" w:styleId="a4">
    <w:name w:val="Balloon Text"/>
    <w:basedOn w:val="a"/>
    <w:link w:val="a5"/>
    <w:uiPriority w:val="99"/>
    <w:semiHidden/>
    <w:unhideWhenUsed/>
    <w:rsid w:val="00151BBF"/>
    <w:rPr>
      <w:rFonts w:ascii="Tahoma" w:hAnsi="Tahoma" w:cs="Tahoma"/>
      <w:sz w:val="16"/>
      <w:szCs w:val="16"/>
    </w:rPr>
  </w:style>
  <w:style w:type="character" w:customStyle="1" w:styleId="a5">
    <w:name w:val="Текст выноски Знак"/>
    <w:basedOn w:val="a0"/>
    <w:link w:val="a4"/>
    <w:uiPriority w:val="99"/>
    <w:semiHidden/>
    <w:rsid w:val="00151BBF"/>
    <w:rPr>
      <w:rFonts w:ascii="Tahoma" w:eastAsia="Times New Roman" w:hAnsi="Tahoma" w:cs="Tahoma"/>
      <w:sz w:val="16"/>
      <w:szCs w:val="16"/>
      <w:lang w:val="uk-UA" w:eastAsia="ru-RU"/>
    </w:rPr>
  </w:style>
  <w:style w:type="character" w:customStyle="1" w:styleId="60">
    <w:name w:val="Заголовок 6 Знак"/>
    <w:aliases w:val="gh Знак"/>
    <w:basedOn w:val="a0"/>
    <w:link w:val="6"/>
    <w:rsid w:val="001D756B"/>
    <w:rPr>
      <w:rFonts w:ascii="Times New Roman" w:eastAsia="Times New Roman" w:hAnsi="Times New Roman" w:cs="Times New Roman"/>
      <w:i/>
      <w:szCs w:val="20"/>
      <w:lang w:eastAsia="ru-RU"/>
    </w:rPr>
  </w:style>
  <w:style w:type="character" w:customStyle="1" w:styleId="70">
    <w:name w:val="Заголовок 7 Знак"/>
    <w:aliases w:val="ghj Знак"/>
    <w:basedOn w:val="a0"/>
    <w:link w:val="7"/>
    <w:rsid w:val="001D756B"/>
    <w:rPr>
      <w:rFonts w:ascii="Arial" w:eastAsia="Times New Roman" w:hAnsi="Arial" w:cs="Times New Roman"/>
      <w:sz w:val="20"/>
      <w:szCs w:val="20"/>
      <w:lang w:eastAsia="ru-RU"/>
    </w:rPr>
  </w:style>
  <w:style w:type="character" w:customStyle="1" w:styleId="80">
    <w:name w:val="Заголовок 8 Знак"/>
    <w:aliases w:val="ghjk Знак"/>
    <w:basedOn w:val="a0"/>
    <w:link w:val="8"/>
    <w:rsid w:val="001D756B"/>
    <w:rPr>
      <w:rFonts w:ascii="Arial" w:eastAsia="Times New Roman" w:hAnsi="Arial" w:cs="Times New Roman"/>
      <w:i/>
      <w:sz w:val="20"/>
      <w:szCs w:val="20"/>
      <w:lang w:eastAsia="ru-RU"/>
    </w:rPr>
  </w:style>
  <w:style w:type="character" w:customStyle="1" w:styleId="90">
    <w:name w:val="Заголовок 9 Знак"/>
    <w:aliases w:val="ghjkl Знак"/>
    <w:basedOn w:val="a0"/>
    <w:link w:val="9"/>
    <w:rsid w:val="001D756B"/>
    <w:rPr>
      <w:rFonts w:ascii="Arial" w:eastAsia="Times New Roman" w:hAnsi="Arial" w:cs="Times New Roman"/>
      <w:b/>
      <w:i/>
      <w:sz w:val="18"/>
      <w:szCs w:val="20"/>
      <w:lang w:eastAsia="ru-RU"/>
    </w:rPr>
  </w:style>
  <w:style w:type="paragraph" w:styleId="a6">
    <w:name w:val="Normal (Web)"/>
    <w:basedOn w:val="a"/>
    <w:uiPriority w:val="99"/>
    <w:rsid w:val="001D756B"/>
    <w:pPr>
      <w:spacing w:before="100" w:beforeAutospacing="1" w:after="100" w:afterAutospacing="1"/>
    </w:pPr>
    <w:rPr>
      <w:lang w:val="ru-RU"/>
    </w:rPr>
  </w:style>
  <w:style w:type="paragraph" w:styleId="2">
    <w:name w:val="Body Text 2"/>
    <w:basedOn w:val="a"/>
    <w:link w:val="20"/>
    <w:rsid w:val="001D756B"/>
    <w:pPr>
      <w:spacing w:after="120" w:line="480" w:lineRule="auto"/>
    </w:pPr>
  </w:style>
  <w:style w:type="character" w:customStyle="1" w:styleId="20">
    <w:name w:val="Основной текст 2 Знак"/>
    <w:basedOn w:val="a0"/>
    <w:link w:val="2"/>
    <w:rsid w:val="001D756B"/>
    <w:rPr>
      <w:rFonts w:ascii="Times New Roman" w:eastAsia="Times New Roman" w:hAnsi="Times New Roman" w:cs="Times New Roman"/>
      <w:sz w:val="24"/>
      <w:szCs w:val="24"/>
      <w:lang w:val="uk-UA" w:eastAsia="ru-RU"/>
    </w:rPr>
  </w:style>
  <w:style w:type="character" w:customStyle="1" w:styleId="text">
    <w:name w:val="text"/>
    <w:rsid w:val="001D756B"/>
  </w:style>
  <w:style w:type="paragraph" w:styleId="a7">
    <w:name w:val="footer"/>
    <w:basedOn w:val="a"/>
    <w:link w:val="a8"/>
    <w:uiPriority w:val="99"/>
    <w:rsid w:val="001D756B"/>
    <w:pPr>
      <w:tabs>
        <w:tab w:val="center" w:pos="4680"/>
        <w:tab w:val="right" w:pos="9360"/>
      </w:tabs>
    </w:pPr>
  </w:style>
  <w:style w:type="character" w:customStyle="1" w:styleId="a8">
    <w:name w:val="Нижний колонтитул Знак"/>
    <w:basedOn w:val="a0"/>
    <w:link w:val="a7"/>
    <w:uiPriority w:val="99"/>
    <w:rsid w:val="001D756B"/>
    <w:rPr>
      <w:rFonts w:ascii="Times New Roman" w:eastAsia="Times New Roman" w:hAnsi="Times New Roman" w:cs="Times New Roman"/>
      <w:sz w:val="24"/>
      <w:szCs w:val="24"/>
      <w:lang w:val="uk-UA" w:eastAsia="ru-RU"/>
    </w:rPr>
  </w:style>
  <w:style w:type="character" w:styleId="a9">
    <w:name w:val="page number"/>
    <w:rsid w:val="001D756B"/>
  </w:style>
  <w:style w:type="paragraph" w:styleId="aa">
    <w:name w:val="List Paragraph"/>
    <w:basedOn w:val="a"/>
    <w:uiPriority w:val="34"/>
    <w:qFormat/>
    <w:rsid w:val="006A0920"/>
    <w:pPr>
      <w:ind w:left="720"/>
      <w:contextualSpacing/>
    </w:pPr>
  </w:style>
  <w:style w:type="character" w:customStyle="1" w:styleId="rvts0">
    <w:name w:val="rvts0"/>
    <w:basedOn w:val="a0"/>
    <w:rsid w:val="00081BA2"/>
  </w:style>
  <w:style w:type="paragraph" w:styleId="ab">
    <w:name w:val="header"/>
    <w:basedOn w:val="a"/>
    <w:link w:val="ac"/>
    <w:uiPriority w:val="99"/>
    <w:unhideWhenUsed/>
    <w:rsid w:val="0062313E"/>
    <w:pPr>
      <w:tabs>
        <w:tab w:val="center" w:pos="4677"/>
        <w:tab w:val="right" w:pos="9355"/>
      </w:tabs>
    </w:pPr>
  </w:style>
  <w:style w:type="character" w:customStyle="1" w:styleId="ac">
    <w:name w:val="Верхний колонтитул Знак"/>
    <w:basedOn w:val="a0"/>
    <w:link w:val="ab"/>
    <w:uiPriority w:val="99"/>
    <w:rsid w:val="0062313E"/>
    <w:rPr>
      <w:rFonts w:ascii="Times New Roman" w:eastAsia="Times New Roman" w:hAnsi="Times New Roman" w:cs="Times New Roman"/>
      <w:sz w:val="24"/>
      <w:szCs w:val="24"/>
      <w:lang w:val="uk-UA" w:eastAsia="ru-RU"/>
    </w:rPr>
  </w:style>
  <w:style w:type="character" w:customStyle="1" w:styleId="rvts23">
    <w:name w:val="rvts23"/>
    <w:basedOn w:val="a0"/>
    <w:rsid w:val="001D0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ial@rpi.kiev.ua" TargetMode="External"/><Relationship Id="rId5" Type="http://schemas.openxmlformats.org/officeDocument/2006/relationships/webSettings" Target="webSettings.xml"/><Relationship Id="rId10" Type="http://schemas.openxmlformats.org/officeDocument/2006/relationships/hyperlink" Target="https://rpi.kiev.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4</cp:revision>
  <cp:lastPrinted>2021-03-23T10:28:00Z</cp:lastPrinted>
  <dcterms:created xsi:type="dcterms:W3CDTF">2022-12-23T12:31:00Z</dcterms:created>
  <dcterms:modified xsi:type="dcterms:W3CDTF">2022-12-26T17:52:00Z</dcterms:modified>
</cp:coreProperties>
</file>